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绵阳市涪城生态环境</w:t>
      </w:r>
      <w:bookmarkStart w:id="0" w:name="_GoBack"/>
      <w:bookmarkEnd w:id="0"/>
      <w:r>
        <w:rPr>
          <w:rFonts w:hint="eastAsia" w:ascii="方正小标宋简体" w:hAnsi="方正小标宋简体" w:eastAsia="方正小标宋简体" w:cs="方正小标宋简体"/>
          <w:b w:val="0"/>
          <w:bCs/>
          <w:color w:val="333333"/>
          <w:sz w:val="44"/>
          <w:szCs w:val="44"/>
          <w:lang w:val="en-US" w:eastAsia="zh-CN"/>
        </w:rPr>
        <w:t>局</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jc w:val="center"/>
        <w:textAlignment w:val="auto"/>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rPr>
        <w:t>关于</w:t>
      </w:r>
      <w:r>
        <w:rPr>
          <w:rFonts w:hint="eastAsia" w:ascii="方正小标宋简体" w:hAnsi="方正小标宋简体" w:eastAsia="方正小标宋简体" w:cs="方正小标宋简体"/>
          <w:b w:val="0"/>
          <w:bCs/>
          <w:color w:val="333333"/>
          <w:sz w:val="44"/>
          <w:szCs w:val="44"/>
        </w:rPr>
        <w:t>绵阳市蜀邦家具有限公司</w:t>
      </w:r>
      <w:r>
        <w:rPr>
          <w:rFonts w:hint="eastAsia" w:ascii="方正小标宋简体" w:hAnsi="方正小标宋简体" w:eastAsia="方正小标宋简体" w:cs="方正小标宋简体"/>
          <w:b w:val="0"/>
          <w:bCs/>
          <w:sz w:val="44"/>
          <w:szCs w:val="44"/>
        </w:rPr>
        <w:t>蜀邦家具喷漆房建设项目</w:t>
      </w:r>
      <w:r>
        <w:rPr>
          <w:rFonts w:hint="eastAsia" w:ascii="方正小标宋简体" w:hAnsi="方正小标宋简体" w:eastAsia="方正小标宋简体" w:cs="方正小标宋简体"/>
          <w:b w:val="0"/>
          <w:bCs/>
          <w:color w:val="333333"/>
          <w:sz w:val="44"/>
          <w:szCs w:val="44"/>
        </w:rPr>
        <w:t>环评文件拟批复公示</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eastAsia" w:ascii="仿宋_GB2312" w:hAnsi="&amp;quot" w:eastAsia="仿宋_GB2312"/>
          <w:sz w:val="32"/>
          <w:szCs w:val="32"/>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根据建设项目环境影响评价审批程序的有关规定，经审查，我局拟对</w:t>
      </w:r>
      <w:r>
        <w:rPr>
          <w:rFonts w:hint="eastAsia" w:ascii="仿宋_GB2312" w:hAnsi="&amp;quot" w:eastAsia="仿宋_GB2312"/>
          <w:bCs/>
          <w:sz w:val="32"/>
          <w:szCs w:val="32"/>
        </w:rPr>
        <w:t>绵阳市蜀邦家具有限公司</w:t>
      </w:r>
      <w:r>
        <w:rPr>
          <w:rFonts w:hint="eastAsia" w:ascii="仿宋_GB2312" w:hAnsi="Times New Roman" w:eastAsia="仿宋_GB2312"/>
          <w:bCs/>
          <w:sz w:val="32"/>
          <w:szCs w:val="32"/>
        </w:rPr>
        <w:t>蜀邦家具喷漆房建设项目</w:t>
      </w:r>
      <w:r>
        <w:rPr>
          <w:rFonts w:hint="eastAsia" w:ascii="仿宋_GB2312" w:hAnsi="&amp;quot" w:eastAsia="仿宋_GB2312"/>
          <w:sz w:val="32"/>
          <w:szCs w:val="32"/>
        </w:rPr>
        <w:t>环境影响报告表作出审批意见。为保证此次审查工作的严肃性和公正性，现将拟作出审批意见的环境影响评价文件基本情况予以公示，公示期为</w:t>
      </w:r>
      <w:r>
        <w:rPr>
          <w:rFonts w:ascii="仿宋_GB2312" w:hAnsi="&amp;quot" w:eastAsia="仿宋_GB2312"/>
          <w:sz w:val="32"/>
          <w:szCs w:val="32"/>
        </w:rPr>
        <w:t>2019</w:t>
      </w:r>
      <w:r>
        <w:rPr>
          <w:rFonts w:hint="eastAsia" w:ascii="仿宋_GB2312" w:hAnsi="&amp;quot" w:eastAsia="仿宋_GB2312"/>
          <w:sz w:val="32"/>
          <w:szCs w:val="32"/>
        </w:rPr>
        <w:t>年</w:t>
      </w:r>
      <w:r>
        <w:rPr>
          <w:rFonts w:ascii="仿宋_GB2312" w:hAnsi="&amp;quot" w:eastAsia="仿宋_GB2312"/>
          <w:sz w:val="32"/>
          <w:szCs w:val="32"/>
        </w:rPr>
        <w:t>11</w:t>
      </w:r>
      <w:r>
        <w:rPr>
          <w:rFonts w:hint="eastAsia" w:ascii="仿宋_GB2312" w:hAnsi="&amp;quot" w:eastAsia="仿宋_GB2312"/>
          <w:sz w:val="32"/>
          <w:szCs w:val="32"/>
        </w:rPr>
        <w:t>月</w:t>
      </w:r>
      <w:r>
        <w:rPr>
          <w:rFonts w:ascii="仿宋_GB2312" w:hAnsi="&amp;quot" w:eastAsia="仿宋_GB2312"/>
          <w:sz w:val="32"/>
          <w:szCs w:val="32"/>
        </w:rPr>
        <w:t>13</w:t>
      </w:r>
      <w:r>
        <w:rPr>
          <w:rFonts w:hint="eastAsia" w:ascii="仿宋_GB2312" w:hAnsi="&amp;quot" w:eastAsia="仿宋_GB2312"/>
          <w:sz w:val="32"/>
          <w:szCs w:val="32"/>
        </w:rPr>
        <w:t>日</w:t>
      </w:r>
      <w:r>
        <w:rPr>
          <w:rFonts w:ascii="仿宋_GB2312" w:hAnsi="&amp;quot" w:eastAsia="仿宋_GB2312"/>
          <w:sz w:val="32"/>
          <w:szCs w:val="32"/>
        </w:rPr>
        <w:t>-2019</w:t>
      </w:r>
      <w:r>
        <w:rPr>
          <w:rFonts w:hint="eastAsia" w:ascii="仿宋_GB2312" w:hAnsi="&amp;quot" w:eastAsia="仿宋_GB2312"/>
          <w:sz w:val="32"/>
          <w:szCs w:val="32"/>
        </w:rPr>
        <w:t>年</w:t>
      </w:r>
      <w:r>
        <w:rPr>
          <w:rFonts w:ascii="仿宋_GB2312" w:hAnsi="&amp;quot" w:eastAsia="仿宋_GB2312"/>
          <w:sz w:val="32"/>
          <w:szCs w:val="32"/>
        </w:rPr>
        <w:t>11</w:t>
      </w:r>
      <w:r>
        <w:rPr>
          <w:rFonts w:hint="eastAsia" w:ascii="仿宋_GB2312" w:hAnsi="&amp;quot" w:eastAsia="仿宋_GB2312"/>
          <w:sz w:val="32"/>
          <w:szCs w:val="32"/>
        </w:rPr>
        <w:t>月</w:t>
      </w:r>
      <w:r>
        <w:rPr>
          <w:rFonts w:ascii="仿宋_GB2312" w:hAnsi="&amp;quot" w:eastAsia="仿宋_GB2312"/>
          <w:sz w:val="32"/>
          <w:szCs w:val="32"/>
        </w:rPr>
        <w:t>19</w:t>
      </w:r>
      <w:r>
        <w:rPr>
          <w:rFonts w:hint="eastAsia" w:ascii="仿宋_GB2312" w:hAnsi="&amp;quot" w:eastAsia="仿宋_GB2312"/>
          <w:sz w:val="32"/>
          <w:szCs w:val="32"/>
        </w:rPr>
        <w:t>日（</w:t>
      </w:r>
      <w:r>
        <w:rPr>
          <w:rFonts w:ascii="仿宋_GB2312" w:hAnsi="&amp;quot" w:eastAsia="仿宋_GB2312"/>
          <w:sz w:val="32"/>
          <w:szCs w:val="32"/>
        </w:rPr>
        <w:t>5</w:t>
      </w:r>
      <w:r>
        <w:rPr>
          <w:rFonts w:hint="eastAsia" w:ascii="仿宋_GB2312" w:hAnsi="&amp;quot" w:eastAsia="仿宋_GB2312"/>
          <w:sz w:val="32"/>
          <w:szCs w:val="32"/>
        </w:rPr>
        <w:t>个工作日）。</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一、项目名称：</w:t>
      </w:r>
      <w:r>
        <w:rPr>
          <w:rFonts w:hint="eastAsia" w:ascii="仿宋_GB2312" w:hAnsi="Times New Roman" w:eastAsia="仿宋_GB2312"/>
          <w:bCs/>
          <w:sz w:val="32"/>
          <w:szCs w:val="32"/>
        </w:rPr>
        <w:t>蜀邦家具喷漆房建设项目</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二、建设地点：</w:t>
      </w:r>
      <w:r>
        <w:rPr>
          <w:rFonts w:hint="eastAsia" w:ascii="仿宋_GB2312" w:hAnsi="Times New Roman" w:eastAsia="仿宋_GB2312"/>
          <w:bCs/>
          <w:sz w:val="32"/>
          <w:szCs w:val="32"/>
        </w:rPr>
        <w:t>绵阳市涪城区玉皇镇斑竹村一社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三、建设单位：</w:t>
      </w:r>
      <w:r>
        <w:rPr>
          <w:rFonts w:hint="eastAsia" w:ascii="仿宋_GB2312" w:hAnsi="Times New Roman" w:eastAsia="仿宋_GB2312"/>
          <w:bCs/>
          <w:sz w:val="32"/>
          <w:szCs w:val="32"/>
        </w:rPr>
        <w:t>绵阳市蜀邦家具有限公司</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四、环境影响评价机构：南京向天歌环保科技有限公司</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五、项目概况：项目</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月已建成，属整改补办环评手续。</w:t>
      </w:r>
      <w:r>
        <w:rPr>
          <w:rFonts w:hint="eastAsia" w:ascii="仿宋_GB2312" w:hAnsi="&amp;quot" w:eastAsia="仿宋_GB2312"/>
          <w:sz w:val="32"/>
          <w:szCs w:val="32"/>
        </w:rPr>
        <w:t>建设地点位于原有厂区，</w:t>
      </w:r>
      <w:r>
        <w:rPr>
          <w:rFonts w:hint="eastAsia" w:ascii="仿宋_GB2312" w:hAnsi="Times New Roman" w:eastAsia="仿宋_GB2312"/>
          <w:sz w:val="32"/>
          <w:szCs w:val="32"/>
        </w:rPr>
        <w:t>建设内容为喷漆房</w:t>
      </w:r>
      <w:r>
        <w:rPr>
          <w:rFonts w:ascii="仿宋_GB2312" w:hAnsi="Times New Roman" w:eastAsia="仿宋_GB2312"/>
          <w:sz w:val="32"/>
          <w:szCs w:val="32"/>
        </w:rPr>
        <w:t>256m</w:t>
      </w:r>
      <w:r>
        <w:rPr>
          <w:rFonts w:ascii="仿宋_GB2312" w:hAnsi="Times New Roman" w:eastAsia="仿宋_GB2312"/>
          <w:sz w:val="32"/>
          <w:szCs w:val="32"/>
          <w:vertAlign w:val="superscript"/>
        </w:rPr>
        <w:t>2</w:t>
      </w:r>
      <w:r>
        <w:rPr>
          <w:rFonts w:hint="eastAsia" w:ascii="仿宋_GB2312" w:hAnsi="Times New Roman" w:eastAsia="仿宋_GB2312"/>
          <w:sz w:val="32"/>
          <w:szCs w:val="32"/>
        </w:rPr>
        <w:t>，包含底漆房</w:t>
      </w:r>
      <w:r>
        <w:rPr>
          <w:rFonts w:ascii="仿宋_GB2312" w:hAnsi="Times New Roman" w:eastAsia="仿宋_GB2312"/>
          <w:sz w:val="32"/>
          <w:szCs w:val="32"/>
        </w:rPr>
        <w:t>1</w:t>
      </w:r>
      <w:r>
        <w:rPr>
          <w:rFonts w:hint="eastAsia" w:ascii="仿宋_GB2312" w:hAnsi="Times New Roman" w:eastAsia="仿宋_GB2312"/>
          <w:sz w:val="32"/>
          <w:szCs w:val="32"/>
        </w:rPr>
        <w:t>间，面漆房</w:t>
      </w:r>
      <w:r>
        <w:rPr>
          <w:rFonts w:ascii="仿宋_GB2312" w:hAnsi="Times New Roman" w:eastAsia="仿宋_GB2312"/>
          <w:sz w:val="32"/>
          <w:szCs w:val="32"/>
        </w:rPr>
        <w:t>2</w:t>
      </w:r>
      <w:r>
        <w:rPr>
          <w:rFonts w:hint="eastAsia" w:ascii="仿宋_GB2312" w:hAnsi="Times New Roman" w:eastAsia="仿宋_GB2312"/>
          <w:sz w:val="32"/>
          <w:szCs w:val="32"/>
        </w:rPr>
        <w:t>间，配套的油漆库房</w:t>
      </w:r>
      <w:r>
        <w:rPr>
          <w:rFonts w:ascii="仿宋_GB2312" w:hAnsi="Times New Roman" w:eastAsia="仿宋_GB2312"/>
          <w:sz w:val="32"/>
          <w:szCs w:val="32"/>
        </w:rPr>
        <w:t>1</w:t>
      </w:r>
      <w:r>
        <w:rPr>
          <w:rFonts w:hint="eastAsia" w:ascii="仿宋_GB2312" w:hAnsi="Times New Roman" w:eastAsia="仿宋_GB2312"/>
          <w:sz w:val="32"/>
          <w:szCs w:val="32"/>
        </w:rPr>
        <w:t>间，</w:t>
      </w:r>
      <w:r>
        <w:rPr>
          <w:rFonts w:ascii="仿宋_GB2312" w:hAnsi="Times New Roman" w:eastAsia="仿宋_GB2312"/>
          <w:sz w:val="32"/>
          <w:szCs w:val="32"/>
        </w:rPr>
        <w:t>32m</w:t>
      </w:r>
      <w:r>
        <w:rPr>
          <w:rFonts w:ascii="仿宋_GB2312" w:hAnsi="Times New Roman" w:eastAsia="仿宋_GB2312"/>
          <w:sz w:val="32"/>
          <w:szCs w:val="32"/>
          <w:vertAlign w:val="superscript"/>
        </w:rPr>
        <w:t>2</w:t>
      </w:r>
      <w:r>
        <w:rPr>
          <w:rFonts w:hint="eastAsia" w:ascii="仿宋_GB2312" w:hAnsi="&amp;quot" w:eastAsia="仿宋_GB2312"/>
          <w:sz w:val="32"/>
          <w:szCs w:val="32"/>
        </w:rPr>
        <w:t>。项目建成后，实现对厂内家具喷漆，生产规模</w:t>
      </w:r>
      <w:r>
        <w:rPr>
          <w:rFonts w:ascii="仿宋_GB2312" w:hAnsi="&amp;quot" w:eastAsia="仿宋_GB2312"/>
          <w:sz w:val="32"/>
          <w:szCs w:val="32"/>
        </w:rPr>
        <w:t>5000</w:t>
      </w:r>
      <w:r>
        <w:rPr>
          <w:rFonts w:hint="eastAsia" w:ascii="仿宋_GB2312" w:hAnsi="&amp;quot" w:eastAsia="仿宋_GB2312"/>
          <w:sz w:val="32"/>
          <w:szCs w:val="32"/>
        </w:rPr>
        <w:t>套</w:t>
      </w:r>
      <w:r>
        <w:rPr>
          <w:rFonts w:ascii="仿宋_GB2312" w:hAnsi="&amp;quot" w:eastAsia="仿宋_GB2312"/>
          <w:sz w:val="32"/>
          <w:szCs w:val="32"/>
        </w:rPr>
        <w:t>/</w:t>
      </w:r>
      <w:r>
        <w:rPr>
          <w:rFonts w:hint="eastAsia" w:ascii="仿宋_GB2312" w:hAnsi="&amp;quot" w:eastAsia="仿宋_GB2312"/>
          <w:sz w:val="32"/>
          <w:szCs w:val="32"/>
        </w:rPr>
        <w:t>年。</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项目总投资</w:t>
      </w:r>
      <w:r>
        <w:rPr>
          <w:rFonts w:ascii="仿宋_GB2312" w:hAnsi="&amp;quot" w:eastAsia="仿宋_GB2312"/>
          <w:sz w:val="32"/>
          <w:szCs w:val="32"/>
        </w:rPr>
        <w:t>200</w:t>
      </w:r>
      <w:r>
        <w:rPr>
          <w:rFonts w:hint="eastAsia" w:ascii="仿宋_GB2312" w:hAnsi="&amp;quot" w:eastAsia="仿宋_GB2312"/>
          <w:sz w:val="32"/>
          <w:szCs w:val="32"/>
        </w:rPr>
        <w:t>万元，其中环保投资</w:t>
      </w:r>
      <w:r>
        <w:rPr>
          <w:rFonts w:ascii="仿宋_GB2312" w:hAnsi="&amp;quot" w:eastAsia="仿宋_GB2312"/>
          <w:sz w:val="32"/>
          <w:szCs w:val="32"/>
        </w:rPr>
        <w:t>47.5</w:t>
      </w:r>
      <w:r>
        <w:rPr>
          <w:rFonts w:hint="eastAsia" w:ascii="仿宋_GB2312" w:hAnsi="&amp;quot" w:eastAsia="仿宋_GB2312"/>
          <w:sz w:val="32"/>
          <w:szCs w:val="32"/>
        </w:rPr>
        <w:t>万元。</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六、主要环境影响及预防或者减轻不良影响的对策和措施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（一）本项目已建成运行，经核查未发现施工期遗留环境问题。</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（二）项目营运期废水污染防治措施：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amp;quot" w:eastAsia="仿宋_GB2312"/>
          <w:sz w:val="32"/>
          <w:szCs w:val="32"/>
        </w:rPr>
        <w:t>项目运营期废水主要为喷漆废水和生活污水，喷漆废水产生量</w:t>
      </w:r>
      <w:r>
        <w:rPr>
          <w:rFonts w:ascii="仿宋_GB2312" w:hAnsi="Times New Roman" w:eastAsia="仿宋_GB2312"/>
          <w:sz w:val="32"/>
          <w:szCs w:val="32"/>
        </w:rPr>
        <w:t>26.8m</w:t>
      </w:r>
      <w:r>
        <w:rPr>
          <w:rFonts w:ascii="仿宋_GB2312" w:hAnsi="Times New Roman" w:eastAsia="仿宋_GB2312"/>
          <w:sz w:val="32"/>
          <w:szCs w:val="32"/>
          <w:vertAlign w:val="superscript"/>
        </w:rPr>
        <w:t>3</w:t>
      </w:r>
      <w:r>
        <w:rPr>
          <w:rFonts w:ascii="仿宋_GB2312" w:hAnsi="Times New Roman" w:eastAsia="仿宋_GB2312"/>
          <w:sz w:val="32"/>
          <w:szCs w:val="32"/>
        </w:rPr>
        <w:t>/</w:t>
      </w:r>
      <w:r>
        <w:rPr>
          <w:rFonts w:hint="eastAsia" w:ascii="仿宋_GB2312" w:hAnsi="Times New Roman" w:eastAsia="仿宋_GB2312"/>
          <w:sz w:val="32"/>
          <w:szCs w:val="32"/>
        </w:rPr>
        <w:t>月，</w:t>
      </w:r>
      <w:r>
        <w:rPr>
          <w:rFonts w:ascii="仿宋_GB2312" w:hAnsi="Times New Roman" w:eastAsia="仿宋_GB2312"/>
          <w:sz w:val="32"/>
          <w:szCs w:val="32"/>
        </w:rPr>
        <w:t>321.6m</w:t>
      </w:r>
      <w:r>
        <w:rPr>
          <w:rFonts w:ascii="仿宋_GB2312" w:hAnsi="Times New Roman" w:eastAsia="仿宋_GB2312"/>
          <w:sz w:val="32"/>
          <w:szCs w:val="32"/>
          <w:vertAlign w:val="superscript"/>
        </w:rPr>
        <w:t>3</w:t>
      </w:r>
      <w:r>
        <w:rPr>
          <w:rFonts w:ascii="仿宋_GB2312" w:hAnsi="Times New Roman" w:eastAsia="仿宋_GB2312"/>
          <w:sz w:val="32"/>
          <w:szCs w:val="32"/>
        </w:rPr>
        <w:t>/a</w:t>
      </w:r>
      <w:r>
        <w:rPr>
          <w:rFonts w:hint="eastAsia" w:ascii="仿宋_GB2312" w:hAnsi="Times New Roman" w:eastAsia="仿宋_GB2312"/>
          <w:sz w:val="32"/>
          <w:szCs w:val="32"/>
        </w:rPr>
        <w:t>，</w:t>
      </w:r>
      <w:r>
        <w:rPr>
          <w:rFonts w:hint="eastAsia" w:ascii="仿宋_GB2312" w:hAnsi="&amp;quot" w:eastAsia="仿宋_GB2312"/>
          <w:sz w:val="32"/>
          <w:szCs w:val="32"/>
        </w:rPr>
        <w:t>按月更换，</w:t>
      </w:r>
      <w:r>
        <w:rPr>
          <w:rFonts w:hint="eastAsia" w:ascii="仿宋_GB2312" w:hAnsi="Times New Roman" w:eastAsia="仿宋_GB2312"/>
          <w:sz w:val="32"/>
          <w:szCs w:val="32"/>
        </w:rPr>
        <w:t>更换后的废水采用化学混凝沉淀法处理，具体工艺为“絮凝</w:t>
      </w:r>
      <w:r>
        <w:rPr>
          <w:rFonts w:ascii="仿宋_GB2312" w:hAnsi="Times New Roman" w:eastAsia="仿宋_GB2312"/>
          <w:sz w:val="32"/>
          <w:szCs w:val="32"/>
        </w:rPr>
        <w:t>+</w:t>
      </w:r>
      <w:r>
        <w:rPr>
          <w:rFonts w:hint="eastAsia" w:ascii="仿宋_GB2312" w:hAnsi="Times New Roman" w:eastAsia="仿宋_GB2312"/>
          <w:sz w:val="32"/>
          <w:szCs w:val="32"/>
        </w:rPr>
        <w:t>气浮</w:t>
      </w:r>
      <w:r>
        <w:rPr>
          <w:rFonts w:ascii="仿宋_GB2312" w:hAnsi="Times New Roman" w:eastAsia="仿宋_GB2312"/>
          <w:sz w:val="32"/>
          <w:szCs w:val="32"/>
        </w:rPr>
        <w:t>+</w:t>
      </w:r>
      <w:r>
        <w:rPr>
          <w:rFonts w:hint="eastAsia" w:ascii="仿宋_GB2312" w:hAnsi="Times New Roman" w:eastAsia="仿宋_GB2312"/>
          <w:sz w:val="32"/>
          <w:szCs w:val="32"/>
        </w:rPr>
        <w:t>沉淀”，处理规模</w:t>
      </w:r>
      <w:r>
        <w:rPr>
          <w:rFonts w:ascii="仿宋_GB2312" w:hAnsi="Times New Roman" w:eastAsia="仿宋_GB2312"/>
          <w:sz w:val="32"/>
          <w:szCs w:val="32"/>
        </w:rPr>
        <w:t>5m</w:t>
      </w:r>
      <w:r>
        <w:rPr>
          <w:rFonts w:ascii="仿宋_GB2312" w:hAnsi="Times New Roman" w:eastAsia="仿宋_GB2312"/>
          <w:sz w:val="32"/>
          <w:szCs w:val="32"/>
          <w:vertAlign w:val="superscript"/>
        </w:rPr>
        <w:t>3</w:t>
      </w:r>
      <w:r>
        <w:rPr>
          <w:rFonts w:ascii="仿宋_GB2312" w:hAnsi="Times New Roman" w:eastAsia="仿宋_GB2312"/>
          <w:sz w:val="32"/>
          <w:szCs w:val="32"/>
        </w:rPr>
        <w:t>/d</w:t>
      </w:r>
      <w:r>
        <w:rPr>
          <w:rFonts w:hint="eastAsia" w:ascii="仿宋_GB2312" w:hAnsi="Times New Roman" w:eastAsia="仿宋_GB2312"/>
          <w:sz w:val="32"/>
          <w:szCs w:val="32"/>
        </w:rPr>
        <w:t>，处理后废水委托</w:t>
      </w:r>
      <w:r>
        <w:rPr>
          <w:rFonts w:hint="eastAsia" w:ascii="仿宋_GB2312" w:hAnsi="Times New Roman" w:eastAsia="仿宋_GB2312"/>
          <w:color w:val="FF0000"/>
          <w:sz w:val="32"/>
          <w:szCs w:val="32"/>
        </w:rPr>
        <w:t>绵阳康盛管道工程有限公司处理，</w:t>
      </w:r>
      <w:r>
        <w:rPr>
          <w:rFonts w:hint="eastAsia" w:ascii="仿宋_GB2312" w:hAnsi="Times New Roman" w:eastAsia="仿宋_GB2312"/>
          <w:sz w:val="32"/>
          <w:szCs w:val="32"/>
        </w:rPr>
        <w:t>不直接外排环境。</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Times New Roman" w:eastAsia="仿宋_GB2312"/>
          <w:sz w:val="32"/>
          <w:szCs w:val="32"/>
        </w:rPr>
        <w:t>新增生活污水</w:t>
      </w:r>
      <w:r>
        <w:rPr>
          <w:rFonts w:ascii="仿宋_GB2312" w:hAnsi="Times New Roman" w:eastAsia="仿宋_GB2312"/>
          <w:sz w:val="32"/>
          <w:szCs w:val="32"/>
        </w:rPr>
        <w:t>0.48m</w:t>
      </w:r>
      <w:r>
        <w:rPr>
          <w:rFonts w:ascii="仿宋_GB2312" w:hAnsi="Times New Roman" w:eastAsia="仿宋_GB2312"/>
          <w:sz w:val="32"/>
          <w:szCs w:val="32"/>
          <w:vertAlign w:val="superscript"/>
        </w:rPr>
        <w:t>3</w:t>
      </w:r>
      <w:r>
        <w:rPr>
          <w:rFonts w:ascii="仿宋_GB2312" w:hAnsi="Times New Roman" w:eastAsia="仿宋_GB2312"/>
          <w:sz w:val="32"/>
          <w:szCs w:val="32"/>
        </w:rPr>
        <w:t>/d</w:t>
      </w:r>
      <w:r>
        <w:rPr>
          <w:rFonts w:hint="eastAsia" w:ascii="仿宋_GB2312" w:hAnsi="Times New Roman" w:eastAsia="仿宋_GB2312"/>
          <w:sz w:val="32"/>
          <w:szCs w:val="32"/>
        </w:rPr>
        <w:t>，</w:t>
      </w:r>
      <w:r>
        <w:rPr>
          <w:rFonts w:ascii="仿宋_GB2312" w:hAnsi="Times New Roman" w:eastAsia="仿宋_GB2312"/>
          <w:sz w:val="32"/>
          <w:szCs w:val="32"/>
        </w:rPr>
        <w:t>145.35m</w:t>
      </w:r>
      <w:r>
        <w:rPr>
          <w:rFonts w:ascii="仿宋_GB2312" w:hAnsi="Times New Roman" w:eastAsia="仿宋_GB2312"/>
          <w:sz w:val="32"/>
          <w:szCs w:val="32"/>
          <w:vertAlign w:val="superscript"/>
        </w:rPr>
        <w:t>3</w:t>
      </w:r>
      <w:r>
        <w:rPr>
          <w:rFonts w:ascii="仿宋_GB2312" w:hAnsi="Times New Roman" w:eastAsia="仿宋_GB2312"/>
          <w:sz w:val="32"/>
          <w:szCs w:val="32"/>
        </w:rPr>
        <w:t>/a</w:t>
      </w:r>
      <w:r>
        <w:rPr>
          <w:rFonts w:hint="eastAsia" w:ascii="仿宋_GB2312" w:hAnsi="Times New Roman" w:eastAsia="仿宋_GB2312"/>
          <w:sz w:val="32"/>
          <w:szCs w:val="32"/>
        </w:rPr>
        <w:t>，依托厂内现有化粪池</w:t>
      </w:r>
      <w:r>
        <w:rPr>
          <w:rFonts w:ascii="仿宋_GB2312" w:hAnsi="Times New Roman" w:eastAsia="仿宋_GB2312"/>
          <w:sz w:val="32"/>
          <w:szCs w:val="32"/>
        </w:rPr>
        <w:t>10m</w:t>
      </w:r>
      <w:r>
        <w:rPr>
          <w:rFonts w:ascii="仿宋_GB2312" w:hAnsi="Times New Roman" w:eastAsia="仿宋_GB2312"/>
          <w:sz w:val="32"/>
          <w:szCs w:val="32"/>
          <w:vertAlign w:val="superscript"/>
        </w:rPr>
        <w:t>3</w:t>
      </w:r>
      <w:r>
        <w:rPr>
          <w:rFonts w:hint="eastAsia" w:ascii="仿宋_GB2312" w:hAnsi="Times New Roman" w:eastAsia="仿宋_GB2312"/>
          <w:sz w:val="32"/>
          <w:szCs w:val="32"/>
        </w:rPr>
        <w:t>处理后用作农肥，不排放。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（三）项目营运期废气污染防治措施：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项目营运期产生的废气包括喷漆废气、打磨粉尘、食堂油烟，喷漆废气含漆雾、</w:t>
      </w:r>
      <w:r>
        <w:rPr>
          <w:rFonts w:ascii="仿宋_GB2312" w:hAnsi="Times New Roman" w:eastAsia="仿宋_GB2312"/>
          <w:sz w:val="32"/>
          <w:szCs w:val="32"/>
        </w:rPr>
        <w:t>VOCs</w:t>
      </w:r>
      <w:r>
        <w:rPr>
          <w:rFonts w:hint="eastAsia" w:ascii="仿宋_GB2312" w:hAnsi="Times New Roman" w:eastAsia="仿宋_GB2312"/>
          <w:sz w:val="32"/>
          <w:szCs w:val="32"/>
        </w:rPr>
        <w:t>，设置密闭漆房收集，采用每个喷漆房设置水帘除漆雾后，底漆房、面漆房分别设置</w:t>
      </w:r>
      <w:r>
        <w:rPr>
          <w:rFonts w:ascii="仿宋_GB2312" w:hAnsi="Times New Roman" w:eastAsia="仿宋_GB2312"/>
          <w:sz w:val="32"/>
          <w:szCs w:val="32"/>
        </w:rPr>
        <w:t>1</w:t>
      </w:r>
      <w:r>
        <w:rPr>
          <w:rFonts w:hint="eastAsia" w:ascii="仿宋_GB2312" w:hAnsi="Times New Roman" w:eastAsia="仿宋_GB2312"/>
          <w:sz w:val="32"/>
          <w:szCs w:val="32"/>
        </w:rPr>
        <w:t>套</w:t>
      </w:r>
      <w:r>
        <w:rPr>
          <w:rFonts w:ascii="仿宋_GB2312" w:hAnsi="Times New Roman" w:eastAsia="仿宋_GB2312"/>
          <w:bCs/>
          <w:sz w:val="32"/>
          <w:szCs w:val="32"/>
        </w:rPr>
        <w:t>UV</w:t>
      </w:r>
      <w:r>
        <w:rPr>
          <w:rFonts w:hint="eastAsia" w:ascii="仿宋_GB2312" w:hAnsi="Times New Roman" w:eastAsia="仿宋_GB2312"/>
          <w:bCs/>
          <w:sz w:val="32"/>
          <w:szCs w:val="32"/>
        </w:rPr>
        <w:t>光解设备</w:t>
      </w:r>
      <w:r>
        <w:rPr>
          <w:rFonts w:ascii="仿宋_GB2312" w:hAnsi="Times New Roman" w:eastAsia="仿宋_GB2312"/>
          <w:bCs/>
          <w:sz w:val="32"/>
          <w:szCs w:val="32"/>
        </w:rPr>
        <w:t>+</w:t>
      </w:r>
      <w:r>
        <w:rPr>
          <w:rFonts w:hint="eastAsia" w:ascii="仿宋_GB2312" w:hAnsi="Times New Roman" w:eastAsia="仿宋_GB2312"/>
          <w:bCs/>
          <w:sz w:val="32"/>
          <w:szCs w:val="32"/>
        </w:rPr>
        <w:t>活性炭处理后</w:t>
      </w:r>
      <w:r>
        <w:rPr>
          <w:rFonts w:ascii="仿宋_GB2312" w:hAnsi="Times New Roman" w:eastAsia="仿宋_GB2312"/>
          <w:bCs/>
          <w:sz w:val="32"/>
          <w:szCs w:val="32"/>
        </w:rPr>
        <w:t>15m</w:t>
      </w:r>
      <w:r>
        <w:rPr>
          <w:rFonts w:hint="eastAsia" w:ascii="仿宋_GB2312" w:hAnsi="Times New Roman" w:eastAsia="仿宋_GB2312"/>
          <w:bCs/>
          <w:sz w:val="32"/>
          <w:szCs w:val="32"/>
        </w:rPr>
        <w:t>排气筒排放。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打磨粉尘产生量小，依托现有精磨区设置的干式吸尘柜处理后废气无组织排放。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食堂油烟设置油烟净化器处理后专用管道引至屋顶排放。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（四）项目营运期噪声污染防治措施：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本项目生产过程中产生的噪声主要为喷漆设备噪声、风机噪声、附属空压机噪声、污水处理泵等，声源强度在</w:t>
      </w:r>
      <w:r>
        <w:rPr>
          <w:rFonts w:ascii="仿宋_GB2312" w:hAnsi="Times New Roman" w:eastAsia="仿宋_GB2312"/>
          <w:sz w:val="32"/>
          <w:szCs w:val="32"/>
        </w:rPr>
        <w:t>70-85dB(A)</w:t>
      </w:r>
      <w:r>
        <w:rPr>
          <w:rFonts w:hint="eastAsia" w:ascii="仿宋_GB2312" w:hAnsi="Times New Roman" w:eastAsia="仿宋_GB2312"/>
          <w:sz w:val="32"/>
          <w:szCs w:val="32"/>
        </w:rPr>
        <w:t>之间。采取选用较为先进设备，噪声源强较低；合理平面布置，生产设备集中布置在生产车间，远离厂界，减少噪声排放；安装设备将设置基础减振措施等减小噪声影响，预测厂界满足《工业企业厂界环境噪声排放标准》（</w:t>
      </w:r>
      <w:r>
        <w:rPr>
          <w:rFonts w:ascii="仿宋_GB2312" w:hAnsi="Times New Roman" w:eastAsia="仿宋_GB2312"/>
          <w:sz w:val="32"/>
          <w:szCs w:val="32"/>
        </w:rPr>
        <w:t>GB12348-2008</w:t>
      </w:r>
      <w:r>
        <w:rPr>
          <w:rFonts w:hint="eastAsia" w:ascii="仿宋_GB2312" w:hAnsi="Times New Roman" w:eastAsia="仿宋_GB2312"/>
          <w:sz w:val="32"/>
          <w:szCs w:val="32"/>
        </w:rPr>
        <w:t>）中</w:t>
      </w:r>
      <w:r>
        <w:rPr>
          <w:rFonts w:ascii="仿宋_GB2312" w:hAnsi="Times New Roman" w:eastAsia="仿宋_GB2312"/>
          <w:sz w:val="32"/>
          <w:szCs w:val="32"/>
        </w:rPr>
        <w:t>2</w:t>
      </w:r>
      <w:r>
        <w:rPr>
          <w:rFonts w:hint="eastAsia" w:ascii="仿宋_GB2312" w:hAnsi="Times New Roman" w:eastAsia="仿宋_GB2312"/>
          <w:sz w:val="32"/>
          <w:szCs w:val="32"/>
        </w:rPr>
        <w:t>类标准。</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（五）项目营运期固体废物处置措施：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本项目生产过程中产生的固体废弃物主要包括废油漆桶、漆渣、废活性炭、废催化剂、生产废水污泥、餐厨垃圾、职工生活垃圾。其中生活垃圾由环卫处理，餐厨垃圾专业油脂公司回收，预处理池污泥，交环卫部门统一收集处理。</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废油漆桶、漆渣、废活性炭、废催化剂、生产废水污泥属于危险废物，新建危废暂存间</w:t>
      </w:r>
      <w:r>
        <w:rPr>
          <w:rFonts w:ascii="仿宋_GB2312" w:hAnsi="Times New Roman" w:eastAsia="仿宋_GB2312"/>
          <w:sz w:val="32"/>
          <w:szCs w:val="32"/>
        </w:rPr>
        <w:t>1</w:t>
      </w:r>
      <w:r>
        <w:rPr>
          <w:rFonts w:hint="eastAsia" w:ascii="仿宋_GB2312" w:hAnsi="Times New Roman" w:eastAsia="仿宋_GB2312"/>
          <w:sz w:val="32"/>
          <w:szCs w:val="32"/>
        </w:rPr>
        <w:t>间，面积</w:t>
      </w:r>
      <w:r>
        <w:rPr>
          <w:rFonts w:ascii="仿宋_GB2312" w:hAnsi="Times New Roman" w:eastAsia="仿宋_GB2312"/>
          <w:sz w:val="32"/>
          <w:szCs w:val="32"/>
        </w:rPr>
        <w:t>10m</w:t>
      </w:r>
      <w:r>
        <w:rPr>
          <w:rFonts w:ascii="仿宋_GB2312" w:hAnsi="Times New Roman" w:eastAsia="仿宋_GB2312"/>
          <w:sz w:val="32"/>
          <w:szCs w:val="32"/>
          <w:vertAlign w:val="superscript"/>
        </w:rPr>
        <w:t>2</w:t>
      </w:r>
      <w:r>
        <w:rPr>
          <w:rFonts w:hint="eastAsia" w:ascii="仿宋_GB2312" w:hAnsi="Times New Roman" w:eastAsia="仿宋_GB2312"/>
          <w:sz w:val="32"/>
          <w:szCs w:val="32"/>
        </w:rPr>
        <w:t>，集中收集暂存后，交资质单位处理；</w:t>
      </w:r>
      <w:r>
        <w:rPr>
          <w:rFonts w:hint="eastAsia" w:ascii="仿宋_GB2312" w:eastAsia="仿宋_GB2312"/>
          <w:sz w:val="32"/>
          <w:szCs w:val="32"/>
        </w:rPr>
        <w:t>建立完善的危废管理台帐，委托持有危险废物运输资质的车辆进行转运，严格执行危险废物转移联单制度，</w:t>
      </w:r>
      <w:r>
        <w:rPr>
          <w:rFonts w:hint="eastAsia" w:ascii="仿宋_GB2312" w:hAnsi="Times New Roman" w:eastAsia="仿宋_GB2312"/>
          <w:sz w:val="32"/>
          <w:szCs w:val="32"/>
        </w:rPr>
        <w:t>。</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（六）项目营运期地下水保护措施：</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按分区防渗原则，对</w:t>
      </w:r>
      <w:r>
        <w:rPr>
          <w:rFonts w:hint="eastAsia" w:ascii="仿宋_GB2312" w:hAnsi="Times New Roman" w:eastAsia="仿宋_GB2312"/>
          <w:sz w:val="32"/>
          <w:szCs w:val="32"/>
        </w:rPr>
        <w:t>油漆库房地面、喷漆房地面及循环水池、污水处理收集池（调节池）底部及周边集水槽、应急池做重点防渗，采用</w:t>
      </w:r>
      <w:r>
        <w:rPr>
          <w:rFonts w:ascii="仿宋_GB2312" w:hAnsi="Times New Roman" w:eastAsia="仿宋_GB2312"/>
          <w:sz w:val="32"/>
          <w:szCs w:val="32"/>
        </w:rPr>
        <w:t>HDPE</w:t>
      </w:r>
      <w:r>
        <w:rPr>
          <w:rFonts w:hint="eastAsia" w:ascii="仿宋_GB2312" w:hAnsi="Times New Roman" w:eastAsia="仿宋_GB2312"/>
          <w:sz w:val="32"/>
          <w:szCs w:val="32"/>
        </w:rPr>
        <w:t>土工膜</w:t>
      </w:r>
      <w:r>
        <w:rPr>
          <w:rFonts w:ascii="仿宋_GB2312" w:hAnsi="Times New Roman" w:eastAsia="仿宋_GB2312"/>
          <w:sz w:val="32"/>
          <w:szCs w:val="32"/>
        </w:rPr>
        <w:t>+</w:t>
      </w:r>
      <w:r>
        <w:rPr>
          <w:rFonts w:hint="eastAsia" w:ascii="仿宋_GB2312" w:hAnsi="Times New Roman" w:eastAsia="仿宋_GB2312"/>
          <w:sz w:val="32"/>
          <w:szCs w:val="32"/>
        </w:rPr>
        <w:t>防渗混凝土，等效粘土层厚度</w:t>
      </w:r>
      <w:r>
        <w:rPr>
          <w:rFonts w:ascii="仿宋_GB2312" w:hAnsi="Times New Roman" w:eastAsia="仿宋_GB2312"/>
          <w:sz w:val="32"/>
          <w:szCs w:val="32"/>
        </w:rPr>
        <w:t>Mb</w:t>
      </w:r>
      <w:r>
        <w:rPr>
          <w:rFonts w:hint="eastAsia" w:ascii="仿宋_GB2312" w:hAnsi="Times New Roman" w:eastAsia="仿宋_GB2312"/>
          <w:sz w:val="32"/>
          <w:szCs w:val="32"/>
        </w:rPr>
        <w:t>≥</w:t>
      </w:r>
      <w:r>
        <w:rPr>
          <w:rFonts w:ascii="仿宋_GB2312" w:hAnsi="Times New Roman" w:eastAsia="仿宋_GB2312"/>
          <w:sz w:val="32"/>
          <w:szCs w:val="32"/>
        </w:rPr>
        <w:t>6m</w:t>
      </w:r>
      <w:r>
        <w:rPr>
          <w:rFonts w:hint="eastAsia" w:ascii="仿宋_GB2312" w:hAnsi="Times New Roman" w:eastAsia="仿宋_GB2312"/>
          <w:sz w:val="32"/>
          <w:szCs w:val="32"/>
        </w:rPr>
        <w:t>，渗透系数</w:t>
      </w:r>
      <w:r>
        <w:rPr>
          <w:rFonts w:ascii="仿宋_GB2312" w:hAnsi="Times New Roman" w:eastAsia="仿宋_GB2312"/>
          <w:sz w:val="32"/>
          <w:szCs w:val="32"/>
        </w:rPr>
        <w:t>K</w:t>
      </w: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10</w:t>
      </w:r>
      <w:r>
        <w:rPr>
          <w:rFonts w:ascii="仿宋_GB2312" w:hAnsi="Times New Roman" w:eastAsia="仿宋_GB2312"/>
          <w:sz w:val="32"/>
          <w:szCs w:val="32"/>
          <w:vertAlign w:val="superscript"/>
        </w:rPr>
        <w:t>-7</w:t>
      </w:r>
      <w:r>
        <w:rPr>
          <w:rFonts w:ascii="仿宋_GB2312" w:hAnsi="Times New Roman" w:eastAsia="仿宋_GB2312"/>
          <w:sz w:val="32"/>
          <w:szCs w:val="32"/>
        </w:rPr>
        <w:t>cm/s</w:t>
      </w:r>
      <w:r>
        <w:rPr>
          <w:rFonts w:hint="eastAsia" w:ascii="仿宋_GB2312" w:hAnsi="Times New Roman" w:eastAsia="仿宋_GB2312"/>
          <w:sz w:val="32"/>
          <w:szCs w:val="32"/>
        </w:rPr>
        <w:t>。危废暂存间地面及</w:t>
      </w:r>
      <w:r>
        <w:rPr>
          <w:rFonts w:ascii="仿宋_GB2312" w:hAnsi="Times New Roman" w:eastAsia="仿宋_GB2312"/>
          <w:sz w:val="32"/>
          <w:szCs w:val="32"/>
        </w:rPr>
        <w:t>20cm</w:t>
      </w:r>
      <w:r>
        <w:rPr>
          <w:rFonts w:hint="eastAsia" w:ascii="仿宋_GB2312" w:hAnsi="Times New Roman" w:eastAsia="仿宋_GB2312"/>
          <w:sz w:val="32"/>
          <w:szCs w:val="32"/>
        </w:rPr>
        <w:t>高墙裙做重点防渗，采用</w:t>
      </w:r>
      <w:r>
        <w:rPr>
          <w:rFonts w:ascii="仿宋_GB2312" w:hAnsi="Times New Roman" w:eastAsia="仿宋_GB2312"/>
          <w:sz w:val="32"/>
          <w:szCs w:val="32"/>
        </w:rPr>
        <w:t>HDPE</w:t>
      </w:r>
      <w:r>
        <w:rPr>
          <w:rFonts w:hint="eastAsia" w:ascii="仿宋_GB2312" w:hAnsi="Times New Roman" w:eastAsia="仿宋_GB2312"/>
          <w:sz w:val="32"/>
          <w:szCs w:val="32"/>
        </w:rPr>
        <w:t>土工膜</w:t>
      </w:r>
      <w:r>
        <w:rPr>
          <w:rFonts w:ascii="仿宋_GB2312" w:hAnsi="Times New Roman" w:eastAsia="仿宋_GB2312"/>
          <w:sz w:val="32"/>
          <w:szCs w:val="32"/>
        </w:rPr>
        <w:t>+</w:t>
      </w:r>
      <w:r>
        <w:rPr>
          <w:rFonts w:hint="eastAsia" w:ascii="仿宋_GB2312" w:hAnsi="Times New Roman" w:eastAsia="仿宋_GB2312"/>
          <w:sz w:val="32"/>
          <w:szCs w:val="32"/>
        </w:rPr>
        <w:t>防渗混凝土，等效粘土层厚度</w:t>
      </w:r>
      <w:r>
        <w:rPr>
          <w:rFonts w:ascii="仿宋_GB2312" w:hAnsi="Times New Roman" w:eastAsia="仿宋_GB2312"/>
          <w:sz w:val="32"/>
          <w:szCs w:val="32"/>
        </w:rPr>
        <w:t>Mb</w:t>
      </w:r>
      <w:r>
        <w:rPr>
          <w:rFonts w:hint="eastAsia" w:ascii="仿宋_GB2312" w:hAnsi="Times New Roman" w:eastAsia="仿宋_GB2312"/>
          <w:sz w:val="32"/>
          <w:szCs w:val="32"/>
        </w:rPr>
        <w:t>≥</w:t>
      </w:r>
      <w:r>
        <w:rPr>
          <w:rFonts w:ascii="仿宋_GB2312" w:hAnsi="Times New Roman" w:eastAsia="仿宋_GB2312"/>
          <w:sz w:val="32"/>
          <w:szCs w:val="32"/>
        </w:rPr>
        <w:t>6m</w:t>
      </w:r>
      <w:r>
        <w:rPr>
          <w:rFonts w:hint="eastAsia" w:ascii="仿宋_GB2312" w:hAnsi="Times New Roman" w:eastAsia="仿宋_GB2312"/>
          <w:sz w:val="32"/>
          <w:szCs w:val="32"/>
        </w:rPr>
        <w:t>，渗透系数</w:t>
      </w:r>
      <w:r>
        <w:rPr>
          <w:rFonts w:ascii="仿宋_GB2312" w:hAnsi="Times New Roman" w:eastAsia="仿宋_GB2312"/>
          <w:sz w:val="32"/>
          <w:szCs w:val="32"/>
        </w:rPr>
        <w:t>K</w:t>
      </w: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10</w:t>
      </w:r>
      <w:r>
        <w:rPr>
          <w:rFonts w:ascii="仿宋_GB2312" w:hAnsi="Times New Roman" w:eastAsia="仿宋_GB2312"/>
          <w:sz w:val="32"/>
          <w:szCs w:val="32"/>
          <w:vertAlign w:val="superscript"/>
        </w:rPr>
        <w:t>-10</w:t>
      </w:r>
      <w:r>
        <w:rPr>
          <w:rFonts w:ascii="仿宋_GB2312" w:hAnsi="Times New Roman" w:eastAsia="仿宋_GB2312"/>
          <w:sz w:val="32"/>
          <w:szCs w:val="32"/>
        </w:rPr>
        <w:t>cm/s</w:t>
      </w:r>
      <w:r>
        <w:rPr>
          <w:rFonts w:hint="eastAsia" w:ascii="仿宋_GB2312" w:hAnsi="Times New Roman" w:eastAsia="仿宋_GB2312"/>
          <w:sz w:val="32"/>
          <w:szCs w:val="32"/>
        </w:rPr>
        <w:t>。喷漆房除重点防渗区以外地面及通道敷设防渗混凝土，达到一般防渗要求，渗透系数</w:t>
      </w:r>
      <w:r>
        <w:rPr>
          <w:rFonts w:ascii="仿宋_GB2312" w:hAnsi="Times New Roman" w:eastAsia="仿宋_GB2312"/>
          <w:sz w:val="32"/>
          <w:szCs w:val="32"/>
        </w:rPr>
        <w:t>K</w:t>
      </w: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10</w:t>
      </w:r>
      <w:r>
        <w:rPr>
          <w:rFonts w:ascii="仿宋_GB2312" w:hAnsi="Times New Roman" w:eastAsia="仿宋_GB2312"/>
          <w:sz w:val="32"/>
          <w:szCs w:val="32"/>
          <w:vertAlign w:val="superscript"/>
        </w:rPr>
        <w:t>-7</w:t>
      </w:r>
      <w:r>
        <w:rPr>
          <w:rFonts w:ascii="仿宋_GB2312" w:hAnsi="Times New Roman" w:eastAsia="仿宋_GB2312"/>
          <w:sz w:val="32"/>
          <w:szCs w:val="32"/>
        </w:rPr>
        <w:t>cm/s</w:t>
      </w:r>
      <w:r>
        <w:rPr>
          <w:rFonts w:hint="eastAsia" w:ascii="仿宋_GB2312" w:hAnsi="Times New Roman" w:eastAsia="仿宋_GB2312"/>
          <w:sz w:val="32"/>
          <w:szCs w:val="32"/>
        </w:rPr>
        <w:t>。半成品库房、成品库房、厂内其他通道、办公生活区一般地面硬化，达到简单防渗要求。</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七）项目环境风险防范措施：对于危险化学品的购买、储存、保管、使用等需按照《危险化学品安全管理条例》中的规定管理；加强对环保设施的管理维护，避免设施运行故障导致事故排放；加强危险废物收集、贮存、运送过程中的管理；加强对各项环保设施的运行及维护管理，关键设备和零部件配备足够的备用件，确保其稳定、正常运行，避免事故性排放。</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七、相关部门意见</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根据《国民经济行业分类》（</w:t>
      </w:r>
      <w:r>
        <w:rPr>
          <w:rFonts w:ascii="仿宋_GB2312" w:hAnsi="&amp;quot" w:eastAsia="仿宋_GB2312"/>
          <w:sz w:val="32"/>
          <w:szCs w:val="32"/>
        </w:rPr>
        <w:t>GB/T4754-2017</w:t>
      </w:r>
      <w:r>
        <w:rPr>
          <w:rFonts w:hint="eastAsia" w:ascii="仿宋_GB2312" w:hAnsi="&amp;quot" w:eastAsia="仿宋_GB2312"/>
          <w:sz w:val="32"/>
          <w:szCs w:val="32"/>
        </w:rPr>
        <w:t>），本项目属于</w:t>
      </w:r>
      <w:r>
        <w:rPr>
          <w:rFonts w:ascii="仿宋_GB2312" w:hAnsi="Times New Roman" w:eastAsia="仿宋_GB2312"/>
          <w:sz w:val="32"/>
          <w:szCs w:val="32"/>
        </w:rPr>
        <w:t>C2110</w:t>
      </w:r>
      <w:r>
        <w:rPr>
          <w:rFonts w:hint="eastAsia" w:ascii="仿宋_GB2312" w:hAnsi="Times New Roman" w:eastAsia="仿宋_GB2312"/>
          <w:sz w:val="32"/>
          <w:szCs w:val="32"/>
        </w:rPr>
        <w:t>木质家具制造</w:t>
      </w:r>
      <w:r>
        <w:rPr>
          <w:rFonts w:hint="eastAsia" w:ascii="仿宋_GB2312" w:hAnsi="&amp;quot" w:eastAsia="仿宋_GB2312"/>
          <w:sz w:val="32"/>
          <w:szCs w:val="32"/>
        </w:rPr>
        <w:t>。根据国务院国发</w:t>
      </w:r>
      <w:r>
        <w:rPr>
          <w:rFonts w:ascii="仿宋_GB2312" w:hAnsi="&amp;quot" w:eastAsia="仿宋_GB2312"/>
          <w:sz w:val="32"/>
          <w:szCs w:val="32"/>
        </w:rPr>
        <w:t>[2005]40</w:t>
      </w:r>
      <w:r>
        <w:rPr>
          <w:rFonts w:hint="eastAsia" w:ascii="仿宋_GB2312" w:hAnsi="&amp;quot" w:eastAsia="仿宋_GB2312"/>
          <w:sz w:val="32"/>
          <w:szCs w:val="32"/>
        </w:rPr>
        <w:t>号文件《促进产业结构调整暂行规定》和国家发改委第</w:t>
      </w:r>
      <w:r>
        <w:rPr>
          <w:rFonts w:ascii="仿宋_GB2312" w:hAnsi="&amp;quot" w:eastAsia="仿宋_GB2312"/>
          <w:sz w:val="32"/>
          <w:szCs w:val="32"/>
        </w:rPr>
        <w:t>9</w:t>
      </w:r>
      <w:r>
        <w:rPr>
          <w:rFonts w:hint="eastAsia" w:ascii="仿宋_GB2312" w:hAnsi="&amp;quot" w:eastAsia="仿宋_GB2312"/>
          <w:sz w:val="32"/>
          <w:szCs w:val="32"/>
        </w:rPr>
        <w:t>号令《产业结构调整目录（</w:t>
      </w:r>
      <w:r>
        <w:rPr>
          <w:rFonts w:ascii="仿宋_GB2312" w:hAnsi="&amp;quot" w:eastAsia="仿宋_GB2312"/>
          <w:sz w:val="32"/>
          <w:szCs w:val="32"/>
        </w:rPr>
        <w:t>2011</w:t>
      </w:r>
      <w:r>
        <w:rPr>
          <w:rFonts w:hint="eastAsia" w:ascii="仿宋_GB2312" w:hAnsi="&amp;quot" w:eastAsia="仿宋_GB2312"/>
          <w:sz w:val="32"/>
          <w:szCs w:val="32"/>
        </w:rPr>
        <w:t>年本）》（</w:t>
      </w:r>
      <w:r>
        <w:rPr>
          <w:rFonts w:ascii="仿宋_GB2312" w:hAnsi="&amp;quot" w:eastAsia="仿宋_GB2312"/>
          <w:sz w:val="32"/>
          <w:szCs w:val="32"/>
        </w:rPr>
        <w:t>2013</w:t>
      </w:r>
      <w:r>
        <w:rPr>
          <w:rFonts w:hint="eastAsia" w:ascii="仿宋_GB2312" w:hAnsi="&amp;quot" w:eastAsia="仿宋_GB2312"/>
          <w:sz w:val="32"/>
          <w:szCs w:val="32"/>
        </w:rPr>
        <w:t>年修正），本项目均不在鼓励、限制、淘汰类之列，属于允许类，符合国家现行产业政策。</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eastAsia="仿宋_GB2312"/>
          <w:sz w:val="32"/>
          <w:szCs w:val="32"/>
        </w:rPr>
        <w:t>项目位于绵阳市涪城区玉皇镇斑竹村一社，在绵阳市蜀邦家具有限公司家具厂内建设，不新增用地，绵阳市蜀邦家具有限公司</w:t>
      </w:r>
      <w:r>
        <w:rPr>
          <w:rFonts w:ascii="仿宋_GB2312" w:eastAsia="仿宋_GB2312"/>
          <w:sz w:val="32"/>
          <w:szCs w:val="32"/>
        </w:rPr>
        <w:t xml:space="preserve">2015 </w:t>
      </w:r>
      <w:r>
        <w:rPr>
          <w:rFonts w:hint="eastAsia" w:ascii="仿宋_GB2312" w:eastAsia="仿宋_GB2312"/>
          <w:sz w:val="32"/>
          <w:szCs w:val="32"/>
        </w:rPr>
        <w:t>年</w:t>
      </w:r>
      <w:r>
        <w:rPr>
          <w:rFonts w:ascii="仿宋_GB2312" w:eastAsia="仿宋_GB2312"/>
          <w:sz w:val="32"/>
          <w:szCs w:val="32"/>
        </w:rPr>
        <w:t xml:space="preserve">10 </w:t>
      </w:r>
      <w:r>
        <w:rPr>
          <w:rFonts w:hint="eastAsia" w:ascii="仿宋_GB2312" w:eastAsia="仿宋_GB2312"/>
          <w:sz w:val="32"/>
          <w:szCs w:val="32"/>
        </w:rPr>
        <w:t>月</w:t>
      </w:r>
      <w:r>
        <w:rPr>
          <w:rFonts w:ascii="仿宋_GB2312" w:eastAsia="仿宋_GB2312"/>
          <w:sz w:val="32"/>
          <w:szCs w:val="32"/>
        </w:rPr>
        <w:t xml:space="preserve"> 26 </w:t>
      </w:r>
      <w:r>
        <w:rPr>
          <w:rFonts w:hint="eastAsia" w:ascii="仿宋_GB2312" w:eastAsia="仿宋_GB2312"/>
          <w:sz w:val="32"/>
          <w:szCs w:val="32"/>
        </w:rPr>
        <w:t>日取得绵阳市涪城区环境保护局《关于对绵阳市蜀邦家具有限公司家具厂厂房项目环境影响报告表的批复》（绵涪环发〔</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 xml:space="preserve">59 </w:t>
      </w:r>
      <w:r>
        <w:rPr>
          <w:rFonts w:hint="eastAsia" w:ascii="仿宋_GB2312" w:eastAsia="仿宋_GB2312"/>
          <w:sz w:val="32"/>
          <w:szCs w:val="32"/>
        </w:rPr>
        <w:t>号），</w:t>
      </w:r>
      <w:r>
        <w:rPr>
          <w:rFonts w:ascii="仿宋_GB2312" w:eastAsia="仿宋_GB2312"/>
          <w:sz w:val="32"/>
          <w:szCs w:val="32"/>
        </w:rPr>
        <w:t xml:space="preserve">2017 </w:t>
      </w:r>
      <w:r>
        <w:rPr>
          <w:rFonts w:hint="eastAsia" w:ascii="仿宋_GB2312" w:eastAsia="仿宋_GB2312"/>
          <w:sz w:val="32"/>
          <w:szCs w:val="32"/>
        </w:rPr>
        <w:t>年</w:t>
      </w:r>
      <w:r>
        <w:rPr>
          <w:rFonts w:ascii="仿宋_GB2312" w:eastAsia="仿宋_GB2312"/>
          <w:sz w:val="32"/>
          <w:szCs w:val="32"/>
        </w:rPr>
        <w:t xml:space="preserve"> 5 </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日取得绵阳市涪城区环境保护局《关于对绵阳市蜀邦家具有限公司家具厂厂房项目竣工环境保护验收函》（绵涪环函〔</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 xml:space="preserve">47 </w:t>
      </w:r>
      <w:r>
        <w:rPr>
          <w:rFonts w:hint="eastAsia" w:ascii="仿宋_GB2312" w:eastAsia="仿宋_GB2312"/>
          <w:sz w:val="32"/>
          <w:szCs w:val="32"/>
        </w:rPr>
        <w:t>号）；</w:t>
      </w:r>
      <w:r>
        <w:rPr>
          <w:rFonts w:hint="eastAsia" w:ascii="仿宋_GB2312" w:hAnsi="&amp;quot" w:eastAsia="仿宋_GB2312"/>
          <w:sz w:val="32"/>
          <w:szCs w:val="32"/>
        </w:rPr>
        <w:t>根据</w:t>
      </w:r>
      <w:r>
        <w:rPr>
          <w:rFonts w:hint="eastAsia" w:ascii="仿宋_GB2312" w:eastAsia="仿宋_GB2312"/>
          <w:sz w:val="32"/>
          <w:szCs w:val="32"/>
        </w:rPr>
        <w:t>绵阳市涪城区人民政府《关于成立绵阳循环经济科技产业园的批复》（绵涪府发</w:t>
      </w:r>
      <w:r>
        <w:rPr>
          <w:rFonts w:hint="eastAsia" w:ascii="仿宋_GB2312"/>
          <w:sz w:val="32"/>
          <w:szCs w:val="32"/>
        </w:rPr>
        <w:t>﹝</w:t>
      </w:r>
      <w:r>
        <w:rPr>
          <w:rFonts w:ascii="仿宋_GB2312" w:eastAsia="仿宋_GB2312"/>
          <w:sz w:val="32"/>
          <w:szCs w:val="32"/>
        </w:rPr>
        <w:t>2019</w:t>
      </w:r>
      <w:r>
        <w:rPr>
          <w:rFonts w:hint="eastAsia" w:ascii="仿宋_GB2312"/>
          <w:sz w:val="32"/>
          <w:szCs w:val="32"/>
        </w:rPr>
        <w:t>﹞</w:t>
      </w:r>
      <w:r>
        <w:rPr>
          <w:rFonts w:ascii="仿宋_GB2312" w:eastAsia="仿宋_GB2312"/>
          <w:sz w:val="32"/>
          <w:szCs w:val="32"/>
        </w:rPr>
        <w:t xml:space="preserve">8 </w:t>
      </w:r>
      <w:r>
        <w:rPr>
          <w:rFonts w:hint="eastAsia" w:ascii="仿宋_GB2312" w:eastAsia="仿宋_GB2312"/>
          <w:sz w:val="32"/>
          <w:szCs w:val="32"/>
        </w:rPr>
        <w:t>号），选址在绵阳循环经济科技产业园内，满足《“十三五”挥发性有机物污染防治工作方案》（环大气</w:t>
      </w:r>
      <w:r>
        <w:rPr>
          <w:rFonts w:ascii="仿宋_GB2312" w:eastAsia="仿宋_GB2312"/>
          <w:sz w:val="32"/>
          <w:szCs w:val="32"/>
        </w:rPr>
        <w:t xml:space="preserve">[2017]121 </w:t>
      </w:r>
      <w:r>
        <w:rPr>
          <w:rFonts w:hint="eastAsia" w:ascii="仿宋_GB2312" w:eastAsia="仿宋_GB2312"/>
          <w:sz w:val="32"/>
          <w:szCs w:val="32"/>
        </w:rPr>
        <w:t>号）、《四川</w:t>
      </w:r>
      <w:r>
        <w:rPr>
          <w:rFonts w:ascii="仿宋_GB2312" w:eastAsia="仿宋_GB2312"/>
          <w:sz w:val="32"/>
          <w:szCs w:val="32"/>
        </w:rPr>
        <w:t xml:space="preserve"> </w:t>
      </w:r>
      <w:r>
        <w:rPr>
          <w:rFonts w:hint="eastAsia" w:ascii="仿宋_GB2312" w:eastAsia="仿宋_GB2312"/>
          <w:sz w:val="32"/>
          <w:szCs w:val="32"/>
        </w:rPr>
        <w:t>省挥发性有机物污染防治实施方案（</w:t>
      </w:r>
      <w:r>
        <w:rPr>
          <w:rFonts w:ascii="仿宋_GB2312" w:eastAsia="仿宋_GB2312"/>
          <w:sz w:val="32"/>
          <w:szCs w:val="32"/>
        </w:rPr>
        <w:t xml:space="preserve">2018-2020 </w:t>
      </w:r>
      <w:r>
        <w:rPr>
          <w:rFonts w:hint="eastAsia" w:ascii="仿宋_GB2312" w:eastAsia="仿宋_GB2312"/>
          <w:sz w:val="32"/>
          <w:szCs w:val="32"/>
        </w:rPr>
        <w:t>年）》中的相关要求。</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联系电话：</w:t>
      </w:r>
      <w:r>
        <w:rPr>
          <w:rFonts w:ascii="仿宋_GB2312" w:hAnsi="&amp;quot" w:eastAsia="仿宋_GB2312"/>
          <w:sz w:val="32"/>
          <w:szCs w:val="32"/>
        </w:rPr>
        <w:t>0816-2228531</w:t>
      </w:r>
      <w:r>
        <w:rPr>
          <w:rFonts w:hint="eastAsia" w:ascii="仿宋_GB2312" w:hAnsi="&amp;quot" w:eastAsia="仿宋_GB2312"/>
          <w:sz w:val="32"/>
          <w:szCs w:val="32"/>
        </w:rPr>
        <w:t>（绵阳市涪城生态环境局环评股）</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传真：</w:t>
      </w:r>
      <w:r>
        <w:rPr>
          <w:rFonts w:ascii="仿宋_GB2312" w:hAnsi="&amp;quot" w:eastAsia="仿宋_GB2312"/>
          <w:sz w:val="32"/>
          <w:szCs w:val="32"/>
        </w:rPr>
        <w:t>0816-2225131</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邮箱：</w:t>
      </w:r>
      <w:r>
        <w:rPr>
          <w:rFonts w:ascii="仿宋_GB2312" w:hAnsi="&amp;quot" w:eastAsia="仿宋_GB2312"/>
          <w:sz w:val="32"/>
          <w:szCs w:val="32"/>
        </w:rPr>
        <w:t>myfchbj@163.com</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通讯地址：绵阳市文庙街</w:t>
      </w:r>
      <w:r>
        <w:rPr>
          <w:rFonts w:ascii="仿宋_GB2312" w:hAnsi="&amp;quot" w:eastAsia="仿宋_GB2312"/>
          <w:sz w:val="32"/>
          <w:szCs w:val="32"/>
        </w:rPr>
        <w:t>13</w:t>
      </w:r>
      <w:r>
        <w:rPr>
          <w:rFonts w:hint="eastAsia" w:ascii="仿宋_GB2312" w:hAnsi="&amp;quot" w:eastAsia="仿宋_GB2312"/>
          <w:sz w:val="32"/>
          <w:szCs w:val="32"/>
        </w:rPr>
        <w:t>号</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ascii="仿宋_GB2312" w:hAnsi="&amp;quot" w:eastAsia="仿宋_GB2312"/>
          <w:sz w:val="32"/>
          <w:szCs w:val="32"/>
        </w:rPr>
      </w:pPr>
      <w:r>
        <w:rPr>
          <w:rFonts w:hint="eastAsia" w:ascii="仿宋_GB2312" w:hAnsi="&amp;quot" w:eastAsia="仿宋_GB2312"/>
          <w:sz w:val="32"/>
          <w:szCs w:val="32"/>
        </w:rPr>
        <w:t>邮编：</w:t>
      </w:r>
      <w:r>
        <w:rPr>
          <w:rFonts w:ascii="仿宋_GB2312" w:hAnsi="&amp;quot" w:eastAsia="仿宋_GB2312"/>
          <w:sz w:val="32"/>
          <w:szCs w:val="32"/>
        </w:rPr>
        <w:t>621000</w:t>
      </w:r>
    </w:p>
    <w:p>
      <w:pPr>
        <w:adjustRightInd w:val="0"/>
        <w:snapToGrid w:val="0"/>
        <w:spacing w:line="360" w:lineRule="auto"/>
        <w:ind w:firstLine="200"/>
        <w:rPr>
          <w:rFonts w:ascii="仿宋_GB2312" w:eastAsia="仿宋_GB2312"/>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F04"/>
    <w:rsid w:val="00061363"/>
    <w:rsid w:val="001316E2"/>
    <w:rsid w:val="00146E56"/>
    <w:rsid w:val="00156BE9"/>
    <w:rsid w:val="00195083"/>
    <w:rsid w:val="001B11DB"/>
    <w:rsid w:val="00262137"/>
    <w:rsid w:val="00276E41"/>
    <w:rsid w:val="002F2215"/>
    <w:rsid w:val="00362878"/>
    <w:rsid w:val="00367C3D"/>
    <w:rsid w:val="003943C0"/>
    <w:rsid w:val="005149D3"/>
    <w:rsid w:val="005243F2"/>
    <w:rsid w:val="005B7AD1"/>
    <w:rsid w:val="005D3589"/>
    <w:rsid w:val="00662534"/>
    <w:rsid w:val="006638CE"/>
    <w:rsid w:val="007D5331"/>
    <w:rsid w:val="00955F19"/>
    <w:rsid w:val="009D7F04"/>
    <w:rsid w:val="00A15BEF"/>
    <w:rsid w:val="00A412A3"/>
    <w:rsid w:val="00AD7664"/>
    <w:rsid w:val="00B2727B"/>
    <w:rsid w:val="00B55E50"/>
    <w:rsid w:val="00BB70C5"/>
    <w:rsid w:val="00C00701"/>
    <w:rsid w:val="00C174F0"/>
    <w:rsid w:val="00D15411"/>
    <w:rsid w:val="00DE6760"/>
    <w:rsid w:val="00E074E6"/>
    <w:rsid w:val="00E34F13"/>
    <w:rsid w:val="00ED074D"/>
    <w:rsid w:val="00F33141"/>
    <w:rsid w:val="00F431EF"/>
    <w:rsid w:val="00F666B3"/>
    <w:rsid w:val="00F76D64"/>
    <w:rsid w:val="00FC5CC4"/>
    <w:rsid w:val="787803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346</Words>
  <Characters>1976</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2019-11-13T05:18:00Z</dcterms:created>
  <dc:creator>China</dc:creator>
  <cp:lastModifiedBy>Y</cp:lastModifiedBy>
  <cp:lastPrinted>2019-11-07T03:39:00Z</cp:lastPrinted>
  <dcterms:modified xsi:type="dcterms:W3CDTF">2019-11-13T05:43:28Z</dcterms:modified>
  <dc:title>绵阳市涪城生态环境局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