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96597"/>
      <w:bookmarkStart w:id="4" w:name="_Toc15377193"/>
      <w:bookmarkStart w:id="5" w:name="_Toc15378441"/>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77194"/>
      <w:bookmarkStart w:id="8" w:name="_Toc15396598"/>
      <w:bookmarkStart w:id="9" w:name="_Toc15377426"/>
      <w:bookmarkStart w:id="10" w:name="_Toc15378442"/>
      <w:r>
        <w:rPr>
          <w:rFonts w:hint="eastAsia" w:ascii="方正小标宋简体" w:hAnsi="宋体" w:eastAsia="方正小标宋简体"/>
          <w:color w:val="000000"/>
          <w:sz w:val="72"/>
          <w:szCs w:val="72"/>
          <w:lang w:eastAsia="zh-CN"/>
        </w:rPr>
        <w:t>绵阳市涪城区</w:t>
      </w:r>
      <w:bookmarkEnd w:id="0"/>
      <w:bookmarkStart w:id="11" w:name="_Toc15306268"/>
      <w:r>
        <w:rPr>
          <w:rFonts w:hint="eastAsia" w:ascii="方正小标宋简体" w:hAnsi="宋体" w:eastAsia="方正小标宋简体"/>
          <w:color w:val="000000"/>
          <w:sz w:val="72"/>
          <w:szCs w:val="72"/>
          <w:lang w:eastAsia="zh-CN"/>
        </w:rPr>
        <w:t>燕儿河水库管理站</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9</w:t>
      </w:r>
      <w:r>
        <w:rPr>
          <w:rFonts w:hint="eastAsia"/>
        </w:rPr>
        <w:t>月</w:t>
      </w:r>
      <w:r>
        <w:rPr>
          <w:rFonts w:hint="eastAsia"/>
          <w:lang w:val="en-US" w:eastAsia="zh-CN"/>
        </w:rPr>
        <w:t>30</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rPr>
          <w:rStyle w:val="15"/>
          <w:rFonts w:hint="default" w:ascii="仿宋" w:hAnsi="仿宋" w:eastAsia="仿宋" w:cstheme="majorBidi"/>
          <w:bCs/>
          <w:kern w:val="2"/>
          <w:sz w:val="28"/>
          <w:szCs w:val="28"/>
          <w:lang w:val="en-US" w:eastAsia="zh-CN" w:bidi="ar-SA"/>
        </w:rPr>
      </w:pPr>
      <w:r>
        <w:rPr>
          <w:rFonts w:hint="eastAsia"/>
          <w:lang w:val="en-US" w:eastAsia="zh-CN"/>
        </w:rPr>
        <w:t xml:space="preserve">  </w:t>
      </w:r>
      <w:r>
        <w:rPr>
          <w:rStyle w:val="15"/>
          <w:rFonts w:hint="eastAsia" w:ascii="仿宋" w:hAnsi="仿宋" w:eastAsia="仿宋" w:cstheme="majorBidi"/>
          <w:bCs/>
          <w:kern w:val="2"/>
          <w:sz w:val="28"/>
          <w:szCs w:val="28"/>
          <w:lang w:val="en-US" w:eastAsia="zh-CN" w:bidi="ar-SA"/>
        </w:rPr>
        <w:t xml:space="preserve">  十、预算绩效情况说明..................................11</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燕儿河水库是以灌溉为主兼顾城镇供水、生态建设、旅游开发等综合利用的中型水利工程，属都江堰灌区囤蓄水工程之一。水库由枢纽工程和灌区工程两部份组成；枢纽工程主要建筑物有：拦河大坝、导流放空洞、灌溉放水洞、城镇供水洞、溢洪道等；灌区工程由左、右干渠组成，渠系总长1４公里。主要职责是负责枢纽工程、灌区工程建设；水库大坝及其它枢纽工程的安全运行管理；承担水库防洪调度，确保水库防洪安全；承担水库兴利调度，最大限度地发挥灌溉、供水；负责水源地保护，城镇供水安全；承办上级交办的其它事项。</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bookmarkStart w:id="18" w:name="_Toc15377199"/>
      <w:bookmarkStart w:id="19" w:name="_Toc15378446"/>
      <w:r>
        <w:rPr>
          <w:rFonts w:hint="eastAsia" w:ascii="仿宋_GB2312" w:hAnsi="仿宋_GB2312" w:eastAsia="仿宋_GB2312" w:cs="仿宋_GB2312"/>
          <w:bCs/>
          <w:color w:val="000000"/>
          <w:sz w:val="32"/>
          <w:szCs w:val="32"/>
        </w:rPr>
        <w:t>（二）2018年重点工作完成情况。</w:t>
      </w:r>
      <w:bookmarkEnd w:id="18"/>
      <w:bookmarkEnd w:id="19"/>
    </w:p>
    <w:p>
      <w:pPr>
        <w:snapToGrid w:val="0"/>
        <w:spacing w:line="52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kern w:val="0"/>
          <w:sz w:val="32"/>
          <w:szCs w:val="32"/>
        </w:rPr>
        <w:t>全力推进水库运行管理、库区环境综合治理、工程调概、水库竣工验收前期准备以及水源保护、安全生产管理等工作。以党的十九大精神为指导，</w:t>
      </w:r>
      <w:r>
        <w:rPr>
          <w:rFonts w:hint="eastAsia" w:ascii="仿宋_GB2312" w:hAnsi="仿宋_GB2312" w:eastAsia="仿宋_GB2312" w:cs="仿宋_GB2312"/>
          <w:sz w:val="32"/>
          <w:szCs w:val="32"/>
        </w:rPr>
        <w:t>深入学习贯彻习近平总书记系列重要讲话精神，全面贯彻落实从严治党责任，以新形势下从严治党要求为主线，</w:t>
      </w:r>
      <w:r>
        <w:rPr>
          <w:rFonts w:hint="eastAsia" w:ascii="仿宋_GB2312" w:hAnsi="仿宋_GB2312" w:eastAsia="仿宋_GB2312" w:cs="仿宋_GB2312"/>
          <w:kern w:val="0"/>
          <w:sz w:val="32"/>
          <w:szCs w:val="32"/>
        </w:rPr>
        <w:t>积极践行创新、协调、绿色、开放、共享的发展理念，着力抓好我站党的思想、组织、作风、反腐倡廉和制度建设，不断提高我站党建工作科学化水平，为水利经济社会事业发展作出应有的贡献</w:t>
      </w:r>
      <w:r>
        <w:rPr>
          <w:rFonts w:hint="eastAsia" w:ascii="仿宋_GB2312" w:hAnsi="仿宋_GB2312" w:eastAsia="仿宋_GB2312" w:cs="仿宋_GB2312"/>
          <w:bCs/>
          <w:sz w:val="32"/>
          <w:szCs w:val="32"/>
        </w:rPr>
        <w:t>。进一步加强领导班子和干部队伍、人才队伍建设，巩固健全党组织建设和党员教育管理的长效机制，不断深化我站自身的建设，着力推进组织工作的创新创优，为建设美丽幸福燕儿河提供有力的组织保证和人才支持</w:t>
      </w:r>
      <w:r>
        <w:rPr>
          <w:rFonts w:hint="eastAsia" w:ascii="仿宋_GB2312" w:hAnsi="仿宋_GB2312" w:eastAsia="仿宋_GB2312" w:cs="仿宋_GB2312"/>
          <w:b/>
          <w:sz w:val="32"/>
          <w:szCs w:val="32"/>
        </w:rPr>
        <w:t>。</w:t>
      </w:r>
    </w:p>
    <w:p>
      <w:pPr>
        <w:tabs>
          <w:tab w:val="left" w:pos="720"/>
        </w:tabs>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一、加强组织领导，明确工作职责</w:t>
      </w:r>
    </w:p>
    <w:p>
      <w:pPr>
        <w:snapToGrid w:val="0"/>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一）夯实党组织建设，加强基层党员干部队伍建设</w:t>
      </w:r>
    </w:p>
    <w:p>
      <w:pPr>
        <w:tabs>
          <w:tab w:val="left" w:pos="720"/>
        </w:tabs>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（二）加强党务公开，严守纪律红线</w:t>
      </w:r>
    </w:p>
    <w:p>
      <w:pPr>
        <w:tabs>
          <w:tab w:val="left" w:pos="720"/>
        </w:tabs>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（三）持续不间断地进行结对帮扶，牵手致富</w:t>
      </w:r>
    </w:p>
    <w:p>
      <w:pPr>
        <w:tabs>
          <w:tab w:val="left" w:pos="720"/>
        </w:tabs>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 ）确保机制建设，注重要素保障</w:t>
      </w:r>
    </w:p>
    <w:p>
      <w:pPr>
        <w:tabs>
          <w:tab w:val="left" w:pos="720"/>
        </w:tabs>
        <w:spacing w:line="540" w:lineRule="exact"/>
        <w:ind w:firstLine="619"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pacing w:val="-6"/>
          <w:sz w:val="32"/>
          <w:szCs w:val="32"/>
          <w:lang w:val="zh-CN"/>
        </w:rPr>
        <w:t>二、全力推进水库竣工验收、工程调概等工作</w:t>
      </w:r>
    </w:p>
    <w:p>
      <w:pPr>
        <w:tabs>
          <w:tab w:val="left" w:pos="720"/>
        </w:tabs>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（一）积极开展燕儿河水库工程竣工验收前期工作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加快燕儿河水库工程竣工验收前期工作，2018年完成了欧投工程验收；完成了右干渠一标段的审计工程，开展水库整体验收工程，预计2019年全面完成水库验收工程。</w:t>
      </w:r>
    </w:p>
    <w:p>
      <w:pPr>
        <w:tabs>
          <w:tab w:val="left" w:pos="720"/>
        </w:tabs>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（二）继续积极做好工程调整概算协调工作</w:t>
      </w:r>
    </w:p>
    <w:p>
      <w:pPr>
        <w:tabs>
          <w:tab w:val="left" w:pos="720"/>
        </w:tabs>
        <w:spacing w:line="54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2018年，我站多次主动向省市发改、水利主管部门汇报工作，争取省发改委批复同意重新调增概算，再次督促绵阳市水利电力设计院重新编制《燕儿河水库工程概算调整报告》及相关资料上报省水利厅，申请省水利厅评审、批复,2019年继续协调此项工作。</w:t>
      </w:r>
    </w:p>
    <w:p>
      <w:pPr>
        <w:tabs>
          <w:tab w:val="left" w:pos="720"/>
        </w:tabs>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（三）完成燕儿河水库水情自动测报系统项目前期工作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该项目工作通过政府集中采购专家评审阶段后，已安置按量完成了此项工作。</w:t>
      </w:r>
    </w:p>
    <w:p>
      <w:pPr>
        <w:tabs>
          <w:tab w:val="left" w:pos="720"/>
        </w:tabs>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（四）继续开展燕儿河水库工程档案资料归档工作</w:t>
      </w:r>
    </w:p>
    <w:p>
      <w:pPr>
        <w:tabs>
          <w:tab w:val="left" w:pos="720"/>
        </w:tab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2018年，我站按照工程建设项目档案资料的管理规范要求，完成了燕儿河水库水情自动测报及大坝监测系统工程、灌区右干渠第二标段、管理房等项目的资料归类建档工作。</w:t>
      </w:r>
    </w:p>
    <w:p>
      <w:pPr>
        <w:tabs>
          <w:tab w:val="left" w:pos="720"/>
        </w:tabs>
        <w:spacing w:line="540" w:lineRule="exact"/>
        <w:ind w:firstLine="619"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pacing w:val="-6"/>
          <w:sz w:val="32"/>
          <w:szCs w:val="32"/>
          <w:lang w:val="zh-CN"/>
        </w:rPr>
        <w:t>三、切实做好水库运行管理及日常维护工作</w:t>
      </w:r>
    </w:p>
    <w:p>
      <w:pPr>
        <w:tabs>
          <w:tab w:val="left" w:pos="720"/>
        </w:tabs>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（一）开展灌区及大坝工程的养护、维护工作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全年开展了大坝、闸室、溢洪道、机电设备等的维护维修，进行了大坝、渠道的杂草清理和渠道清淤，实施并完成。</w:t>
      </w:r>
    </w:p>
    <w:p>
      <w:pPr>
        <w:tabs>
          <w:tab w:val="left" w:pos="720"/>
        </w:tabs>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（二）切实做好工程防洪度汛工作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按相关要求编制上报防洪度汛方案和抢险预案，并经市局批复，按批复方案做好了防汛物质储备、实行了24小时值带班制，加强汛期安全巡查，确保了水库安全度汛。</w:t>
      </w:r>
    </w:p>
    <w:p>
      <w:pPr>
        <w:tabs>
          <w:tab w:val="left" w:pos="720"/>
        </w:tabs>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（三）做好灌区用水服务工作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在供水期间，我们坚持巡查、排查制度，做到有问题早发现、早上报、早处理，确保灌区群众灌溉用水。</w:t>
      </w:r>
    </w:p>
    <w:p>
      <w:pPr>
        <w:tabs>
          <w:tab w:val="left" w:pos="720"/>
        </w:tabs>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（四）</w:t>
      </w:r>
      <w:r>
        <w:rPr>
          <w:rFonts w:hint="eastAsia" w:ascii="仿宋_GB2312" w:hAnsi="仿宋_GB2312" w:eastAsia="仿宋_GB2312" w:cs="仿宋_GB2312"/>
          <w:b/>
          <w:sz w:val="32"/>
          <w:szCs w:val="32"/>
          <w:lang w:val="zh-CN"/>
        </w:rPr>
        <w:t>扎实开展库区环境整治、水源保护和生态补水工作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配合市水务集团水厂投运，对库区存水进行了置换，为保护库区水环境，组织人员对库区环境进行每日巡查工作，发现有污染源立即进行整治，主要开展了清漂、清理库周垃圾和协助区水务局做好江河湖库连通项目前期准备等工作。</w:t>
      </w:r>
    </w:p>
    <w:p>
      <w:pPr>
        <w:tabs>
          <w:tab w:val="left" w:pos="720"/>
        </w:tabs>
        <w:spacing w:line="540" w:lineRule="exact"/>
        <w:ind w:firstLine="619"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pacing w:val="-6"/>
          <w:sz w:val="32"/>
          <w:szCs w:val="32"/>
          <w:lang w:val="zh-CN"/>
        </w:rPr>
        <w:t>四、切实做好安全、网络舆情处置和信访稳定工作</w:t>
      </w:r>
    </w:p>
    <w:p>
      <w:pPr>
        <w:tabs>
          <w:tab w:val="left" w:pos="720"/>
        </w:tabs>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（一）认真抓好安全生产工作</w:t>
      </w:r>
    </w:p>
    <w:p>
      <w:pPr>
        <w:tabs>
          <w:tab w:val="left" w:pos="720"/>
        </w:tabs>
        <w:spacing w:line="54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一是加强安全生产宣传教育。二是开展日常安全检查、巡查和隐患排查监督整改工作，并在重要节假日和重大活动期间，加大对库区水面和森林的安全管理。三是全站干部职工坚持每天巡查，每周例检，切实履行“一岗双责”和安全包片制，及时排查、整治安全隐患，实现了安全生产“零事故、零伤亡”的目标。</w:t>
      </w:r>
    </w:p>
    <w:p>
      <w:pPr>
        <w:tabs>
          <w:tab w:val="left" w:pos="720"/>
        </w:tabs>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（二）认真及时处置网络舆情工作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为在管理上避免工作不主动不细致造成的负面影响，在年初制定了相关工作制度，细化职责，至始至终坚持开展矛盾纠纷排查和化解工作。</w:t>
      </w:r>
    </w:p>
    <w:p>
      <w:p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（三）切实做好信访稳定工作</w:t>
      </w:r>
    </w:p>
    <w:p>
      <w:pPr>
        <w:snapToGrid w:val="0"/>
        <w:spacing w:line="52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及时协调、处置化解矛盾，确保信访稳定，杜绝个体和群体上访事件发生。</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p>
    <w:p>
      <w:pPr>
        <w:pStyle w:val="3"/>
        <w:rPr>
          <w:rStyle w:val="25"/>
          <w:rFonts w:hint="eastAsia" w:ascii="仿宋_GB2312" w:hAnsi="仿宋_GB2312" w:eastAsia="仿宋_GB2312" w:cs="仿宋_GB2312"/>
          <w:b w:val="0"/>
          <w:bCs w:val="0"/>
        </w:rPr>
      </w:pPr>
      <w:bookmarkStart w:id="20" w:name="_Toc15377200"/>
      <w:bookmarkStart w:id="21" w:name="_Toc15396601"/>
      <w:r>
        <w:rPr>
          <w:rFonts w:hint="eastAsia" w:ascii="仿宋_GB2312" w:hAnsi="仿宋_GB2312" w:eastAsia="仿宋_GB2312" w:cs="仿宋_GB2312"/>
          <w:b w:val="0"/>
          <w:color w:val="000000"/>
        </w:rPr>
        <w:t>二、机</w:t>
      </w:r>
      <w:r>
        <w:rPr>
          <w:rStyle w:val="25"/>
          <w:rFonts w:hint="eastAsia" w:ascii="仿宋_GB2312" w:hAnsi="仿宋_GB2312" w:eastAsia="仿宋_GB2312" w:cs="仿宋_GB2312"/>
          <w:b w:val="0"/>
          <w:bCs w:val="0"/>
        </w:rPr>
        <w:t>构设置</w:t>
      </w:r>
      <w:bookmarkEnd w:id="20"/>
      <w:bookmarkEnd w:id="21"/>
    </w:p>
    <w:p>
      <w:pPr>
        <w:pStyle w:val="5"/>
        <w:adjustRightInd w:val="0"/>
        <w:snapToGrid w:val="0"/>
        <w:spacing w:line="600" w:lineRule="exact"/>
        <w:ind w:firstLine="588" w:firstLineChars="210"/>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涪城区燕管局内设股室5个</w:t>
      </w:r>
      <w:r>
        <w:rPr>
          <w:rFonts w:hint="eastAsia" w:ascii="仿宋_GB2312" w:hAnsi="仿宋_GB2312" w:eastAsia="仿宋_GB2312" w:cs="仿宋_GB2312"/>
          <w:color w:val="000000"/>
          <w:sz w:val="32"/>
          <w:szCs w:val="32"/>
        </w:rPr>
        <w:t>，</w:t>
      </w:r>
    </w:p>
    <w:p>
      <w:pPr>
        <w:pStyle w:val="5"/>
        <w:adjustRightInd w:val="0"/>
        <w:snapToGrid w:val="0"/>
        <w:spacing w:line="600" w:lineRule="exact"/>
        <w:ind w:firstLine="672" w:firstLineChars="21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人员情况，有人员变动，两人调出。</w:t>
      </w:r>
      <w:r>
        <w:rPr>
          <w:rFonts w:hint="eastAsia" w:ascii="仿宋_GB2312" w:hAnsi="仿宋_GB2312" w:eastAsia="仿宋_GB2312" w:cs="仿宋_GB2312"/>
          <w:color w:val="000000"/>
          <w:sz w:val="32"/>
          <w:szCs w:val="32"/>
        </w:rPr>
        <w:br w:type="page"/>
      </w:r>
    </w:p>
    <w:p>
      <w:pPr>
        <w:pStyle w:val="2"/>
        <w:ind w:right="440"/>
        <w:jc w:val="center"/>
        <w:rPr>
          <w:rStyle w:val="24"/>
          <w:rFonts w:hint="eastAsia" w:ascii="仿宋_GB2312" w:hAnsi="仿宋_GB2312" w:eastAsia="仿宋_GB2312" w:cs="仿宋_GB2312"/>
          <w:b w:val="0"/>
          <w:bCs w:val="0"/>
        </w:rPr>
      </w:pPr>
      <w:bookmarkStart w:id="22" w:name="_Toc15377204"/>
      <w:bookmarkStart w:id="23" w:name="_Toc15396602"/>
      <w:r>
        <w:rPr>
          <w:rFonts w:hint="eastAsia" w:ascii="仿宋_GB2312" w:hAnsi="仿宋_GB2312" w:eastAsia="仿宋_GB2312" w:cs="仿宋_GB2312"/>
          <w:b w:val="0"/>
          <w:color w:val="000000"/>
        </w:rPr>
        <w:t>第二部分</w:t>
      </w:r>
      <w:r>
        <w:rPr>
          <w:rFonts w:hint="eastAsia" w:ascii="仿宋_GB2312" w:hAnsi="仿宋_GB2312" w:eastAsia="仿宋_GB2312" w:cs="仿宋_GB2312"/>
          <w:color w:val="000000"/>
        </w:rPr>
        <w:t xml:space="preserve"> </w:t>
      </w:r>
      <w:r>
        <w:rPr>
          <w:rStyle w:val="24"/>
          <w:rFonts w:hint="eastAsia" w:ascii="仿宋_GB2312" w:hAnsi="仿宋_GB2312" w:eastAsia="仿宋_GB2312" w:cs="仿宋_GB2312"/>
          <w:b w:val="0"/>
          <w:bCs w:val="0"/>
        </w:rPr>
        <w:t>2018年度部门决算情况说明</w:t>
      </w:r>
      <w:bookmarkEnd w:id="22"/>
      <w:bookmarkEnd w:id="23"/>
    </w:p>
    <w:p>
      <w:pPr>
        <w:rPr>
          <w:rFonts w:hint="eastAsia" w:ascii="仿宋_GB2312" w:hAnsi="仿宋_GB2312" w:eastAsia="仿宋_GB2312" w:cs="仿宋_GB2312"/>
        </w:rPr>
      </w:pPr>
    </w:p>
    <w:p>
      <w:pPr>
        <w:pStyle w:val="23"/>
        <w:numPr>
          <w:ilvl w:val="0"/>
          <w:numId w:val="1"/>
        </w:numPr>
        <w:spacing w:line="600" w:lineRule="exact"/>
        <w:ind w:firstLineChars="0"/>
        <w:outlineLvl w:val="1"/>
        <w:rPr>
          <w:rStyle w:val="25"/>
          <w:rFonts w:hint="eastAsia" w:ascii="仿宋_GB2312" w:hAnsi="仿宋_GB2312" w:eastAsia="仿宋_GB2312" w:cs="仿宋_GB2312"/>
          <w:b w:val="0"/>
        </w:rPr>
      </w:pPr>
      <w:bookmarkStart w:id="24" w:name="_Toc15396603"/>
      <w:bookmarkStart w:id="25" w:name="_Toc15377205"/>
      <w:r>
        <w:rPr>
          <w:rFonts w:hint="eastAsia" w:ascii="仿宋_GB2312" w:hAnsi="仿宋_GB2312" w:eastAsia="仿宋_GB2312" w:cs="仿宋_GB2312"/>
          <w:color w:val="000000"/>
          <w:sz w:val="32"/>
          <w:szCs w:val="32"/>
        </w:rPr>
        <w:t>收</w:t>
      </w:r>
      <w:r>
        <w:rPr>
          <w:rStyle w:val="25"/>
          <w:rFonts w:hint="eastAsia" w:ascii="仿宋_GB2312" w:hAnsi="仿宋_GB2312" w:eastAsia="仿宋_GB2312" w:cs="仿宋_GB2312"/>
          <w:b w:val="0"/>
        </w:rPr>
        <w:t>入支出决算总体情况说明</w:t>
      </w:r>
      <w:bookmarkEnd w:id="24"/>
      <w:bookmarkEnd w:id="25"/>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燕管站2018年度财政拨款收支总决算</w:t>
      </w:r>
      <w:r>
        <w:rPr>
          <w:rFonts w:hint="eastAsia" w:ascii="仿宋_GB2312" w:hAnsi="仿宋_GB2312" w:eastAsia="仿宋_GB2312" w:cs="仿宋_GB2312"/>
          <w:color w:val="000000"/>
          <w:sz w:val="32"/>
          <w:szCs w:val="32"/>
          <w:lang w:val="en-US" w:eastAsia="zh-CN"/>
        </w:rPr>
        <w:t>554.46</w:t>
      </w:r>
      <w:r>
        <w:rPr>
          <w:rFonts w:hint="eastAsia" w:ascii="仿宋_GB2312" w:hAnsi="仿宋_GB2312" w:eastAsia="仿宋_GB2312" w:cs="仿宋_GB2312"/>
          <w:color w:val="000000"/>
          <w:sz w:val="32"/>
          <w:szCs w:val="32"/>
        </w:rPr>
        <w:t>万元，支总决算439</w:t>
      </w:r>
      <w:r>
        <w:rPr>
          <w:rFonts w:hint="eastAsia" w:ascii="仿宋_GB2312" w:hAnsi="仿宋_GB2312" w:eastAsia="仿宋_GB2312" w:cs="仿宋_GB2312"/>
          <w:color w:val="000000"/>
          <w:sz w:val="32"/>
          <w:szCs w:val="32"/>
          <w:lang w:val="en-US" w:eastAsia="zh-CN"/>
        </w:rPr>
        <w:t>.33</w:t>
      </w:r>
      <w:r>
        <w:rPr>
          <w:rFonts w:hint="eastAsia" w:ascii="仿宋_GB2312" w:hAnsi="仿宋_GB2312" w:eastAsia="仿宋_GB2312" w:cs="仿宋_GB2312"/>
          <w:color w:val="000000"/>
          <w:sz w:val="32"/>
          <w:szCs w:val="32"/>
        </w:rPr>
        <w:t>万元，与2017年相比，财政拨款收支总计各增加/减少</w:t>
      </w:r>
      <w:r>
        <w:rPr>
          <w:rFonts w:hint="eastAsia" w:ascii="仿宋_GB2312" w:hAnsi="仿宋_GB2312" w:eastAsia="仿宋_GB2312" w:cs="仿宋_GB2312"/>
          <w:color w:val="000000"/>
          <w:sz w:val="32"/>
          <w:szCs w:val="32"/>
          <w:lang w:val="en-US" w:eastAsia="zh-CN"/>
        </w:rPr>
        <w:t>66</w:t>
      </w:r>
      <w:r>
        <w:rPr>
          <w:rFonts w:hint="eastAsia" w:ascii="仿宋_GB2312" w:hAnsi="仿宋_GB2312" w:eastAsia="仿宋_GB2312" w:cs="仿宋_GB2312"/>
          <w:color w:val="000000"/>
          <w:sz w:val="32"/>
          <w:szCs w:val="32"/>
        </w:rPr>
        <w:t>万元，增长/下降1.</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水库工程基本结束，项目支出相应减少。</w:t>
      </w:r>
    </w:p>
    <w:p>
      <w:pPr>
        <w:spacing w:line="600" w:lineRule="exact"/>
        <w:ind w:firstLine="640" w:firstLineChars="200"/>
        <w:jc w:val="left"/>
        <w:rPr>
          <w:rFonts w:hint="eastAsia" w:ascii="仿宋_GB2312" w:hAnsi="仿宋_GB2312" w:eastAsia="仿宋_GB2312" w:cs="仿宋_GB2312"/>
          <w:color w:val="000000"/>
          <w:sz w:val="32"/>
          <w:szCs w:val="32"/>
        </w:rPr>
      </w:pPr>
    </w:p>
    <w:p>
      <w:pPr>
        <w:pStyle w:val="23"/>
        <w:numPr>
          <w:ilvl w:val="0"/>
          <w:numId w:val="1"/>
        </w:numPr>
        <w:spacing w:line="600" w:lineRule="exact"/>
        <w:ind w:firstLineChars="0"/>
        <w:outlineLvl w:val="1"/>
        <w:rPr>
          <w:rStyle w:val="25"/>
          <w:rFonts w:hint="eastAsia" w:ascii="仿宋_GB2312" w:hAnsi="仿宋_GB2312" w:eastAsia="仿宋_GB2312" w:cs="仿宋_GB2312"/>
          <w:b w:val="0"/>
        </w:rPr>
      </w:pPr>
      <w:bookmarkStart w:id="26" w:name="_Toc15377206"/>
      <w:bookmarkStart w:id="27" w:name="_Toc15396604"/>
      <w:r>
        <w:rPr>
          <w:rFonts w:hint="eastAsia" w:ascii="仿宋_GB2312" w:hAnsi="仿宋_GB2312" w:eastAsia="仿宋_GB2312" w:cs="仿宋_GB2312"/>
          <w:color w:val="000000"/>
          <w:sz w:val="32"/>
          <w:szCs w:val="32"/>
        </w:rPr>
        <w:t>收</w:t>
      </w:r>
      <w:r>
        <w:rPr>
          <w:rStyle w:val="25"/>
          <w:rFonts w:hint="eastAsia" w:ascii="仿宋_GB2312" w:hAnsi="仿宋_GB2312" w:eastAsia="仿宋_GB2312" w:cs="仿宋_GB2312"/>
          <w:b w:val="0"/>
        </w:rPr>
        <w:t>入决算情况说明</w:t>
      </w:r>
      <w:bookmarkEnd w:id="26"/>
      <w:bookmarkEnd w:id="27"/>
    </w:p>
    <w:p>
      <w:pPr>
        <w:spacing w:line="600" w:lineRule="exact"/>
        <w:ind w:firstLine="640" w:firstLineChars="200"/>
        <w:outlineLvl w:val="1"/>
        <w:rPr>
          <w:rFonts w:hint="eastAsia" w:ascii="仿宋_GB2312" w:hAnsi="仿宋_GB2312" w:eastAsia="仿宋_GB2312" w:cs="仿宋_GB2312"/>
          <w:b w:val="0"/>
          <w:bCs w:val="0"/>
          <w:color w:val="000000"/>
          <w:sz w:val="32"/>
          <w:szCs w:val="32"/>
          <w:shd w:val="clear" w:color="auto" w:fill="auto"/>
          <w:lang w:eastAsia="zh-CN"/>
        </w:rPr>
      </w:pPr>
      <w:r>
        <w:rPr>
          <w:rFonts w:hint="eastAsia" w:ascii="仿宋_GB2312" w:hAnsi="仿宋_GB2312" w:eastAsia="仿宋_GB2312" w:cs="仿宋_GB2312"/>
          <w:b w:val="0"/>
          <w:bCs w:val="0"/>
          <w:color w:val="000000"/>
          <w:sz w:val="32"/>
          <w:szCs w:val="32"/>
          <w:shd w:val="clear" w:color="auto" w:fill="auto"/>
        </w:rPr>
        <w:t>2018年本年收入合计</w:t>
      </w:r>
      <w:r>
        <w:rPr>
          <w:rFonts w:hint="eastAsia" w:ascii="仿宋_GB2312" w:hAnsi="仿宋_GB2312" w:eastAsia="仿宋_GB2312" w:cs="仿宋_GB2312"/>
          <w:b w:val="0"/>
          <w:bCs w:val="0"/>
          <w:color w:val="000000"/>
          <w:sz w:val="32"/>
          <w:szCs w:val="32"/>
          <w:shd w:val="clear" w:color="auto" w:fill="auto"/>
          <w:lang w:val="en-US" w:eastAsia="zh-CN"/>
        </w:rPr>
        <w:t>554</w:t>
      </w:r>
      <w:r>
        <w:rPr>
          <w:rFonts w:hint="eastAsia" w:ascii="仿宋_GB2312" w:hAnsi="仿宋_GB2312" w:eastAsia="仿宋_GB2312" w:cs="仿宋_GB2312"/>
          <w:b w:val="0"/>
          <w:bCs w:val="0"/>
          <w:color w:val="000000"/>
          <w:sz w:val="32"/>
          <w:szCs w:val="32"/>
          <w:shd w:val="clear" w:color="auto" w:fill="auto"/>
        </w:rPr>
        <w:t>万元，其中：一般公共预算财政拨款收入</w:t>
      </w:r>
      <w:r>
        <w:rPr>
          <w:rFonts w:hint="eastAsia" w:ascii="仿宋_GB2312" w:hAnsi="仿宋_GB2312" w:eastAsia="仿宋_GB2312" w:cs="仿宋_GB2312"/>
          <w:b w:val="0"/>
          <w:bCs w:val="0"/>
          <w:color w:val="000000"/>
          <w:sz w:val="32"/>
          <w:szCs w:val="32"/>
          <w:shd w:val="clear" w:color="auto" w:fill="auto"/>
          <w:lang w:val="en-US" w:eastAsia="zh-CN"/>
        </w:rPr>
        <w:t>497.36</w:t>
      </w:r>
      <w:r>
        <w:rPr>
          <w:rFonts w:hint="eastAsia" w:ascii="仿宋_GB2312" w:hAnsi="仿宋_GB2312" w:eastAsia="仿宋_GB2312" w:cs="仿宋_GB2312"/>
          <w:b w:val="0"/>
          <w:bCs w:val="0"/>
          <w:color w:val="000000"/>
          <w:sz w:val="32"/>
          <w:szCs w:val="32"/>
          <w:shd w:val="clear" w:color="auto" w:fill="auto"/>
        </w:rPr>
        <w:t>万元，占</w:t>
      </w:r>
      <w:r>
        <w:rPr>
          <w:rFonts w:hint="eastAsia" w:ascii="仿宋_GB2312" w:hAnsi="仿宋_GB2312" w:eastAsia="仿宋_GB2312" w:cs="仿宋_GB2312"/>
          <w:b w:val="0"/>
          <w:bCs w:val="0"/>
          <w:color w:val="000000"/>
          <w:sz w:val="32"/>
          <w:szCs w:val="32"/>
          <w:shd w:val="clear" w:color="auto" w:fill="auto"/>
          <w:lang w:val="en-US" w:eastAsia="zh-CN"/>
        </w:rPr>
        <w:t>90</w:t>
      </w:r>
      <w:r>
        <w:rPr>
          <w:rFonts w:hint="eastAsia" w:ascii="仿宋_GB2312" w:hAnsi="仿宋_GB2312" w:eastAsia="仿宋_GB2312" w:cs="仿宋_GB2312"/>
          <w:b w:val="0"/>
          <w:bCs w:val="0"/>
          <w:color w:val="000000"/>
          <w:sz w:val="32"/>
          <w:szCs w:val="32"/>
          <w:shd w:val="clear" w:color="auto" w:fill="auto"/>
        </w:rPr>
        <w:t>%；政府性基金预算财政拨款收入</w:t>
      </w:r>
      <w:r>
        <w:rPr>
          <w:rFonts w:hint="eastAsia" w:ascii="仿宋_GB2312" w:hAnsi="仿宋_GB2312" w:eastAsia="仿宋_GB2312" w:cs="仿宋_GB2312"/>
          <w:b w:val="0"/>
          <w:bCs w:val="0"/>
          <w:color w:val="000000"/>
          <w:sz w:val="32"/>
          <w:szCs w:val="32"/>
          <w:shd w:val="clear" w:color="auto" w:fill="auto"/>
          <w:lang w:val="en-US" w:eastAsia="zh-CN"/>
        </w:rPr>
        <w:t>0</w:t>
      </w:r>
      <w:r>
        <w:rPr>
          <w:rFonts w:hint="eastAsia" w:ascii="仿宋_GB2312" w:hAnsi="仿宋_GB2312" w:eastAsia="仿宋_GB2312" w:cs="仿宋_GB2312"/>
          <w:b w:val="0"/>
          <w:bCs w:val="0"/>
          <w:color w:val="000000"/>
          <w:sz w:val="32"/>
          <w:szCs w:val="32"/>
          <w:shd w:val="clear" w:color="auto" w:fill="auto"/>
        </w:rPr>
        <w:t>万元，占</w:t>
      </w:r>
      <w:r>
        <w:rPr>
          <w:rFonts w:hint="eastAsia" w:ascii="仿宋_GB2312" w:hAnsi="仿宋_GB2312" w:eastAsia="仿宋_GB2312" w:cs="仿宋_GB2312"/>
          <w:b w:val="0"/>
          <w:bCs w:val="0"/>
          <w:color w:val="000000"/>
          <w:sz w:val="32"/>
          <w:szCs w:val="32"/>
          <w:shd w:val="clear" w:color="auto" w:fill="auto"/>
          <w:lang w:val="en-US" w:eastAsia="zh-CN"/>
        </w:rPr>
        <w:t>0</w:t>
      </w:r>
      <w:r>
        <w:rPr>
          <w:rFonts w:hint="eastAsia" w:ascii="仿宋_GB2312" w:hAnsi="仿宋_GB2312" w:eastAsia="仿宋_GB2312" w:cs="仿宋_GB2312"/>
          <w:b w:val="0"/>
          <w:bCs w:val="0"/>
          <w:color w:val="000000"/>
          <w:sz w:val="32"/>
          <w:szCs w:val="32"/>
          <w:shd w:val="clear" w:color="auto" w:fill="auto"/>
        </w:rPr>
        <w:t>%；国有资本经营预算财政拨款收入</w:t>
      </w:r>
      <w:r>
        <w:rPr>
          <w:rFonts w:hint="eastAsia" w:ascii="仿宋_GB2312" w:hAnsi="仿宋_GB2312" w:eastAsia="仿宋_GB2312" w:cs="仿宋_GB2312"/>
          <w:b w:val="0"/>
          <w:bCs w:val="0"/>
          <w:color w:val="000000"/>
          <w:sz w:val="32"/>
          <w:szCs w:val="32"/>
          <w:shd w:val="clear" w:color="auto" w:fill="auto"/>
          <w:lang w:val="en-US" w:eastAsia="zh-CN"/>
        </w:rPr>
        <w:t>0</w:t>
      </w:r>
      <w:r>
        <w:rPr>
          <w:rFonts w:hint="eastAsia" w:ascii="仿宋_GB2312" w:hAnsi="仿宋_GB2312" w:eastAsia="仿宋_GB2312" w:cs="仿宋_GB2312"/>
          <w:b w:val="0"/>
          <w:bCs w:val="0"/>
          <w:color w:val="000000"/>
          <w:sz w:val="32"/>
          <w:szCs w:val="32"/>
          <w:shd w:val="clear" w:color="auto" w:fill="auto"/>
        </w:rPr>
        <w:t>万元，占</w:t>
      </w:r>
      <w:r>
        <w:rPr>
          <w:rFonts w:hint="eastAsia" w:ascii="仿宋_GB2312" w:hAnsi="仿宋_GB2312" w:eastAsia="仿宋_GB2312" w:cs="仿宋_GB2312"/>
          <w:b w:val="0"/>
          <w:bCs w:val="0"/>
          <w:color w:val="000000"/>
          <w:sz w:val="32"/>
          <w:szCs w:val="32"/>
          <w:shd w:val="clear" w:color="auto" w:fill="auto"/>
          <w:lang w:val="en-US" w:eastAsia="zh-CN"/>
        </w:rPr>
        <w:t>0</w:t>
      </w:r>
      <w:r>
        <w:rPr>
          <w:rFonts w:hint="eastAsia" w:ascii="仿宋_GB2312" w:hAnsi="仿宋_GB2312" w:eastAsia="仿宋_GB2312" w:cs="仿宋_GB2312"/>
          <w:b w:val="0"/>
          <w:bCs w:val="0"/>
          <w:color w:val="000000"/>
          <w:sz w:val="32"/>
          <w:szCs w:val="32"/>
          <w:shd w:val="clear" w:color="auto" w:fill="auto"/>
        </w:rPr>
        <w:t>%；事业收入</w:t>
      </w:r>
      <w:r>
        <w:rPr>
          <w:rFonts w:hint="eastAsia" w:ascii="仿宋_GB2312" w:hAnsi="仿宋_GB2312" w:eastAsia="仿宋_GB2312" w:cs="仿宋_GB2312"/>
          <w:b w:val="0"/>
          <w:bCs w:val="0"/>
          <w:color w:val="000000"/>
          <w:sz w:val="32"/>
          <w:szCs w:val="32"/>
          <w:shd w:val="clear" w:color="auto" w:fill="auto"/>
          <w:lang w:val="en-US" w:eastAsia="zh-CN"/>
        </w:rPr>
        <w:t>0</w:t>
      </w:r>
      <w:r>
        <w:rPr>
          <w:rFonts w:hint="eastAsia" w:ascii="仿宋_GB2312" w:hAnsi="仿宋_GB2312" w:eastAsia="仿宋_GB2312" w:cs="仿宋_GB2312"/>
          <w:b w:val="0"/>
          <w:bCs w:val="0"/>
          <w:color w:val="000000"/>
          <w:sz w:val="32"/>
          <w:szCs w:val="32"/>
          <w:shd w:val="clear" w:color="auto" w:fill="auto"/>
        </w:rPr>
        <w:t>万元，占</w:t>
      </w:r>
      <w:r>
        <w:rPr>
          <w:rFonts w:hint="eastAsia" w:ascii="仿宋_GB2312" w:hAnsi="仿宋_GB2312" w:eastAsia="仿宋_GB2312" w:cs="仿宋_GB2312"/>
          <w:b w:val="0"/>
          <w:bCs w:val="0"/>
          <w:color w:val="000000"/>
          <w:sz w:val="32"/>
          <w:szCs w:val="32"/>
          <w:shd w:val="clear" w:color="auto" w:fill="auto"/>
          <w:lang w:val="en-US" w:eastAsia="zh-CN"/>
        </w:rPr>
        <w:t>0</w:t>
      </w:r>
      <w:r>
        <w:rPr>
          <w:rFonts w:hint="eastAsia" w:ascii="仿宋_GB2312" w:hAnsi="仿宋_GB2312" w:eastAsia="仿宋_GB2312" w:cs="仿宋_GB2312"/>
          <w:b w:val="0"/>
          <w:bCs w:val="0"/>
          <w:color w:val="000000"/>
          <w:sz w:val="32"/>
          <w:szCs w:val="32"/>
          <w:shd w:val="clear" w:color="auto" w:fill="auto"/>
        </w:rPr>
        <w:t>%；经营收入</w:t>
      </w:r>
      <w:r>
        <w:rPr>
          <w:rFonts w:hint="eastAsia" w:ascii="仿宋_GB2312" w:hAnsi="仿宋_GB2312" w:eastAsia="仿宋_GB2312" w:cs="仿宋_GB2312"/>
          <w:b w:val="0"/>
          <w:bCs w:val="0"/>
          <w:color w:val="000000"/>
          <w:sz w:val="32"/>
          <w:szCs w:val="32"/>
          <w:shd w:val="clear" w:color="auto" w:fill="auto"/>
          <w:lang w:val="en-US" w:eastAsia="zh-CN"/>
        </w:rPr>
        <w:t>0</w:t>
      </w:r>
      <w:r>
        <w:rPr>
          <w:rFonts w:hint="eastAsia" w:ascii="仿宋_GB2312" w:hAnsi="仿宋_GB2312" w:eastAsia="仿宋_GB2312" w:cs="仿宋_GB2312"/>
          <w:b w:val="0"/>
          <w:bCs w:val="0"/>
          <w:color w:val="000000"/>
          <w:sz w:val="32"/>
          <w:szCs w:val="32"/>
          <w:shd w:val="clear" w:color="auto" w:fill="auto"/>
        </w:rPr>
        <w:t>万元，占</w:t>
      </w:r>
      <w:r>
        <w:rPr>
          <w:rFonts w:hint="eastAsia" w:ascii="仿宋_GB2312" w:hAnsi="仿宋_GB2312" w:eastAsia="仿宋_GB2312" w:cs="仿宋_GB2312"/>
          <w:b w:val="0"/>
          <w:bCs w:val="0"/>
          <w:color w:val="000000"/>
          <w:sz w:val="32"/>
          <w:szCs w:val="32"/>
          <w:shd w:val="clear" w:color="auto" w:fill="auto"/>
          <w:lang w:val="en-US" w:eastAsia="zh-CN"/>
        </w:rPr>
        <w:t>0</w:t>
      </w:r>
      <w:r>
        <w:rPr>
          <w:rFonts w:hint="eastAsia" w:ascii="仿宋_GB2312" w:hAnsi="仿宋_GB2312" w:eastAsia="仿宋_GB2312" w:cs="仿宋_GB2312"/>
          <w:b w:val="0"/>
          <w:bCs w:val="0"/>
          <w:color w:val="000000"/>
          <w:sz w:val="32"/>
          <w:szCs w:val="32"/>
          <w:shd w:val="clear" w:color="auto" w:fill="auto"/>
        </w:rPr>
        <w:t>%；附属单位上缴收入</w:t>
      </w:r>
      <w:r>
        <w:rPr>
          <w:rFonts w:hint="eastAsia" w:ascii="仿宋_GB2312" w:hAnsi="仿宋_GB2312" w:eastAsia="仿宋_GB2312" w:cs="仿宋_GB2312"/>
          <w:b w:val="0"/>
          <w:bCs w:val="0"/>
          <w:color w:val="000000"/>
          <w:sz w:val="32"/>
          <w:szCs w:val="32"/>
          <w:shd w:val="clear" w:color="auto" w:fill="auto"/>
          <w:lang w:val="en-US" w:eastAsia="zh-CN"/>
        </w:rPr>
        <w:t>0</w:t>
      </w:r>
      <w:r>
        <w:rPr>
          <w:rFonts w:hint="eastAsia" w:ascii="仿宋_GB2312" w:hAnsi="仿宋_GB2312" w:eastAsia="仿宋_GB2312" w:cs="仿宋_GB2312"/>
          <w:b w:val="0"/>
          <w:bCs w:val="0"/>
          <w:color w:val="000000"/>
          <w:sz w:val="32"/>
          <w:szCs w:val="32"/>
          <w:shd w:val="clear" w:color="auto" w:fill="auto"/>
        </w:rPr>
        <w:t>万元，占</w:t>
      </w:r>
      <w:r>
        <w:rPr>
          <w:rFonts w:hint="eastAsia" w:ascii="仿宋_GB2312" w:hAnsi="仿宋_GB2312" w:eastAsia="仿宋_GB2312" w:cs="仿宋_GB2312"/>
          <w:b w:val="0"/>
          <w:bCs w:val="0"/>
          <w:color w:val="000000"/>
          <w:sz w:val="32"/>
          <w:szCs w:val="32"/>
          <w:shd w:val="clear" w:color="auto" w:fill="auto"/>
          <w:lang w:val="en-US" w:eastAsia="zh-CN"/>
        </w:rPr>
        <w:t>0</w:t>
      </w:r>
      <w:r>
        <w:rPr>
          <w:rFonts w:hint="eastAsia" w:ascii="仿宋_GB2312" w:hAnsi="仿宋_GB2312" w:eastAsia="仿宋_GB2312" w:cs="仿宋_GB2312"/>
          <w:b w:val="0"/>
          <w:bCs w:val="0"/>
          <w:color w:val="000000"/>
          <w:sz w:val="32"/>
          <w:szCs w:val="32"/>
          <w:shd w:val="clear" w:color="auto" w:fill="auto"/>
        </w:rPr>
        <w:t>%；其他收入</w:t>
      </w:r>
      <w:r>
        <w:rPr>
          <w:rFonts w:hint="eastAsia" w:ascii="仿宋_GB2312" w:hAnsi="仿宋_GB2312" w:eastAsia="仿宋_GB2312" w:cs="仿宋_GB2312"/>
          <w:b w:val="0"/>
          <w:bCs w:val="0"/>
          <w:color w:val="000000"/>
          <w:sz w:val="32"/>
          <w:szCs w:val="32"/>
          <w:shd w:val="clear" w:color="auto" w:fill="auto"/>
          <w:lang w:val="en-US" w:eastAsia="zh-CN"/>
        </w:rPr>
        <w:t>0</w:t>
      </w:r>
      <w:r>
        <w:rPr>
          <w:rFonts w:hint="eastAsia" w:ascii="仿宋_GB2312" w:hAnsi="仿宋_GB2312" w:eastAsia="仿宋_GB2312" w:cs="仿宋_GB2312"/>
          <w:b w:val="0"/>
          <w:bCs w:val="0"/>
          <w:color w:val="000000"/>
          <w:sz w:val="32"/>
          <w:szCs w:val="32"/>
          <w:shd w:val="clear" w:color="auto" w:fill="auto"/>
        </w:rPr>
        <w:t>万元，占</w:t>
      </w:r>
      <w:r>
        <w:rPr>
          <w:rFonts w:hint="eastAsia" w:ascii="仿宋_GB2312" w:hAnsi="仿宋_GB2312" w:eastAsia="仿宋_GB2312" w:cs="仿宋_GB2312"/>
          <w:b w:val="0"/>
          <w:bCs w:val="0"/>
          <w:color w:val="000000"/>
          <w:sz w:val="32"/>
          <w:szCs w:val="32"/>
          <w:shd w:val="clear" w:color="auto" w:fill="auto"/>
          <w:lang w:val="en-US" w:eastAsia="zh-CN"/>
        </w:rPr>
        <w:t>0</w:t>
      </w:r>
      <w:r>
        <w:rPr>
          <w:rFonts w:hint="eastAsia" w:ascii="仿宋_GB2312" w:hAnsi="仿宋_GB2312" w:eastAsia="仿宋_GB2312" w:cs="仿宋_GB2312"/>
          <w:b w:val="0"/>
          <w:bCs w:val="0"/>
          <w:color w:val="000000"/>
          <w:sz w:val="32"/>
          <w:szCs w:val="32"/>
          <w:shd w:val="clear" w:color="auto" w:fill="auto"/>
        </w:rPr>
        <w:t>%。</w:t>
      </w:r>
    </w:p>
    <w:p>
      <w:pPr>
        <w:pStyle w:val="23"/>
        <w:numPr>
          <w:ilvl w:val="0"/>
          <w:numId w:val="1"/>
        </w:numPr>
        <w:spacing w:line="600" w:lineRule="exact"/>
        <w:ind w:firstLineChars="0"/>
        <w:outlineLvl w:val="1"/>
        <w:rPr>
          <w:rStyle w:val="25"/>
          <w:rFonts w:hint="eastAsia" w:ascii="仿宋_GB2312" w:hAnsi="仿宋_GB2312" w:eastAsia="仿宋_GB2312" w:cs="仿宋_GB2312"/>
          <w:b w:val="0"/>
        </w:rPr>
      </w:pPr>
      <w:bookmarkStart w:id="28" w:name="_Toc15377207"/>
      <w:bookmarkStart w:id="29" w:name="_Toc15396605"/>
      <w:r>
        <w:rPr>
          <w:rFonts w:hint="eastAsia" w:ascii="仿宋_GB2312" w:hAnsi="仿宋_GB2312" w:eastAsia="仿宋_GB2312" w:cs="仿宋_GB2312"/>
          <w:color w:val="000000"/>
          <w:sz w:val="32"/>
          <w:szCs w:val="32"/>
        </w:rPr>
        <w:t>支</w:t>
      </w:r>
      <w:r>
        <w:rPr>
          <w:rStyle w:val="25"/>
          <w:rFonts w:hint="eastAsia" w:ascii="仿宋_GB2312" w:hAnsi="仿宋_GB2312" w:eastAsia="仿宋_GB2312" w:cs="仿宋_GB2312"/>
          <w:b w:val="0"/>
        </w:rPr>
        <w:t>出决算情况说明</w:t>
      </w:r>
      <w:bookmarkEnd w:id="28"/>
      <w:bookmarkEnd w:id="29"/>
    </w:p>
    <w:p>
      <w:pPr>
        <w:spacing w:line="600" w:lineRule="exact"/>
        <w:ind w:firstLine="640"/>
        <w:rPr>
          <w:rFonts w:hint="eastAsia" w:ascii="仿宋_GB2312" w:hAnsi="仿宋_GB2312" w:eastAsia="仿宋_GB2312" w:cs="仿宋_GB2312"/>
          <w:color w:val="000000"/>
          <w:sz w:val="32"/>
          <w:szCs w:val="32"/>
          <w:shd w:val="pct10" w:color="auto" w:fill="FFFFFF"/>
        </w:rPr>
      </w:pPr>
      <w:r>
        <w:rPr>
          <w:rFonts w:hint="eastAsia" w:ascii="仿宋_GB2312" w:hAnsi="仿宋_GB2312" w:eastAsia="仿宋_GB2312" w:cs="仿宋_GB2312"/>
          <w:color w:val="000000"/>
          <w:sz w:val="32"/>
          <w:szCs w:val="32"/>
        </w:rPr>
        <w:t>2018年本年支出合计</w:t>
      </w:r>
      <w:r>
        <w:rPr>
          <w:rFonts w:hint="eastAsia" w:ascii="仿宋_GB2312" w:hAnsi="仿宋_GB2312" w:eastAsia="仿宋_GB2312" w:cs="仿宋_GB2312"/>
          <w:color w:val="000000"/>
          <w:sz w:val="32"/>
          <w:szCs w:val="32"/>
          <w:lang w:val="en-US" w:eastAsia="zh-CN"/>
        </w:rPr>
        <w:t>438.64</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193.73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44</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244.91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56</w:t>
      </w:r>
      <w:r>
        <w:rPr>
          <w:rFonts w:hint="eastAsia" w:ascii="仿宋_GB2312" w:hAnsi="仿宋_GB2312" w:eastAsia="仿宋_GB2312" w:cs="仿宋_GB2312"/>
          <w:color w:val="000000"/>
          <w:sz w:val="32"/>
          <w:szCs w:val="32"/>
        </w:rPr>
        <w:t>%；上缴上级支出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%；对附属单位补助支出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FF0000"/>
          <w:sz w:val="32"/>
          <w:szCs w:val="32"/>
        </w:rPr>
      </w:pPr>
    </w:p>
    <w:p>
      <w:pPr>
        <w:spacing w:line="600" w:lineRule="exact"/>
        <w:ind w:firstLine="640" w:firstLineChars="200"/>
        <w:outlineLvl w:val="1"/>
        <w:rPr>
          <w:rStyle w:val="25"/>
          <w:rFonts w:hint="eastAsia" w:ascii="仿宋_GB2312" w:hAnsi="仿宋_GB2312" w:eastAsia="仿宋_GB2312" w:cs="仿宋_GB2312"/>
          <w:b w:val="0"/>
        </w:rPr>
      </w:pPr>
      <w:bookmarkStart w:id="30" w:name="_Toc15377208"/>
      <w:bookmarkStart w:id="31" w:name="_Toc15396606"/>
      <w:r>
        <w:rPr>
          <w:rFonts w:hint="eastAsia" w:ascii="仿宋_GB2312" w:hAnsi="仿宋_GB2312" w:eastAsia="仿宋_GB2312" w:cs="仿宋_GB2312"/>
          <w:color w:val="000000"/>
          <w:sz w:val="32"/>
          <w:szCs w:val="32"/>
        </w:rPr>
        <w:t>四、财</w:t>
      </w:r>
      <w:r>
        <w:rPr>
          <w:rStyle w:val="25"/>
          <w:rFonts w:hint="eastAsia" w:ascii="仿宋_GB2312" w:hAnsi="仿宋_GB2312" w:eastAsia="仿宋_GB2312" w:cs="仿宋_GB2312"/>
          <w:b w:val="0"/>
        </w:rPr>
        <w:t>政拨款收入支出决算总体情况说明</w:t>
      </w:r>
      <w:bookmarkEnd w:id="30"/>
      <w:bookmarkEnd w:id="31"/>
    </w:p>
    <w:p>
      <w:pPr>
        <w:spacing w:line="600" w:lineRule="exact"/>
        <w:ind w:firstLine="64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2018年财政拨款收、支总计</w:t>
      </w:r>
      <w:r>
        <w:rPr>
          <w:rFonts w:hint="eastAsia" w:ascii="仿宋_GB2312" w:hAnsi="仿宋_GB2312" w:eastAsia="仿宋_GB2312" w:cs="仿宋_GB2312"/>
          <w:color w:val="000000"/>
          <w:sz w:val="32"/>
          <w:szCs w:val="32"/>
          <w:lang w:val="en-US" w:eastAsia="zh-CN"/>
        </w:rPr>
        <w:t>497.33</w:t>
      </w:r>
      <w:r>
        <w:rPr>
          <w:rFonts w:hint="eastAsia" w:ascii="仿宋_GB2312" w:hAnsi="仿宋_GB2312" w:eastAsia="仿宋_GB2312" w:cs="仿宋_GB2312"/>
          <w:color w:val="000000"/>
          <w:sz w:val="32"/>
          <w:szCs w:val="32"/>
        </w:rPr>
        <w:t>万元。与2017年相比，财政拨款收、支总计各增加/减少</w:t>
      </w:r>
      <w:r>
        <w:rPr>
          <w:rFonts w:hint="eastAsia" w:ascii="仿宋_GB2312" w:hAnsi="仿宋_GB2312" w:eastAsia="仿宋_GB2312" w:cs="仿宋_GB2312"/>
          <w:color w:val="000000"/>
          <w:sz w:val="32"/>
          <w:szCs w:val="32"/>
          <w:lang w:val="en-US" w:eastAsia="zh-CN"/>
        </w:rPr>
        <w:t>66</w:t>
      </w:r>
      <w:r>
        <w:rPr>
          <w:rFonts w:hint="eastAsia" w:ascii="仿宋_GB2312" w:hAnsi="仿宋_GB2312" w:eastAsia="仿宋_GB2312" w:cs="仿宋_GB2312"/>
          <w:color w:val="000000"/>
          <w:sz w:val="32"/>
          <w:szCs w:val="32"/>
        </w:rPr>
        <w:t>万元，增长/下降</w:t>
      </w:r>
      <w:r>
        <w:rPr>
          <w:rFonts w:hint="eastAsia" w:ascii="仿宋_GB2312" w:hAnsi="仿宋_GB2312" w:eastAsia="仿宋_GB2312" w:cs="仿宋_GB2312"/>
          <w:color w:val="000000"/>
          <w:sz w:val="32"/>
          <w:szCs w:val="32"/>
          <w:lang w:val="en-US" w:eastAsia="zh-CN"/>
        </w:rPr>
        <w:t>1.15</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水库工程基本结束，支出相应减少。</w:t>
      </w:r>
    </w:p>
    <w:p>
      <w:pPr>
        <w:spacing w:line="600" w:lineRule="exact"/>
        <w:ind w:firstLine="640"/>
        <w:rPr>
          <w:rFonts w:hint="eastAsia" w:ascii="仿宋_GB2312" w:hAnsi="仿宋_GB2312" w:eastAsia="仿宋_GB2312" w:cs="仿宋_GB2312"/>
          <w:b/>
          <w:color w:val="00B050"/>
          <w:sz w:val="32"/>
          <w:szCs w:val="32"/>
        </w:rPr>
      </w:pPr>
    </w:p>
    <w:p>
      <w:pPr>
        <w:spacing w:line="600" w:lineRule="exact"/>
        <w:ind w:firstLine="640" w:firstLineChars="200"/>
        <w:outlineLvl w:val="1"/>
        <w:rPr>
          <w:rStyle w:val="25"/>
          <w:rFonts w:hint="eastAsia" w:ascii="仿宋_GB2312" w:hAnsi="仿宋_GB2312" w:eastAsia="仿宋_GB2312" w:cs="仿宋_GB2312"/>
          <w:b w:val="0"/>
        </w:rPr>
      </w:pPr>
      <w:bookmarkStart w:id="32" w:name="_Toc15396607"/>
      <w:bookmarkStart w:id="33" w:name="_Toc15377209"/>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b/>
          <w:color w:val="000000"/>
          <w:sz w:val="32"/>
          <w:szCs w:val="32"/>
        </w:rPr>
        <w:t>一</w:t>
      </w:r>
      <w:r>
        <w:rPr>
          <w:rStyle w:val="25"/>
          <w:rFonts w:hint="eastAsia" w:ascii="仿宋_GB2312" w:hAnsi="仿宋_GB2312" w:eastAsia="仿宋_GB2312" w:cs="仿宋_GB2312"/>
          <w:b w:val="0"/>
        </w:rPr>
        <w:t>般公共预算财政拨款支出决算情况说明</w:t>
      </w:r>
      <w:bookmarkEnd w:id="32"/>
      <w:bookmarkEnd w:id="33"/>
    </w:p>
    <w:p>
      <w:pPr>
        <w:spacing w:line="600" w:lineRule="exact"/>
        <w:ind w:firstLine="643" w:firstLineChars="200"/>
        <w:outlineLvl w:val="2"/>
        <w:rPr>
          <w:rFonts w:hint="eastAsia" w:ascii="仿宋_GB2312" w:hAnsi="仿宋_GB2312" w:eastAsia="仿宋_GB2312" w:cs="仿宋_GB2312"/>
          <w:b/>
          <w:color w:val="000000"/>
          <w:sz w:val="32"/>
          <w:szCs w:val="32"/>
        </w:rPr>
      </w:pPr>
      <w:bookmarkStart w:id="34" w:name="_Toc15377210"/>
      <w:r>
        <w:rPr>
          <w:rFonts w:hint="eastAsia" w:ascii="仿宋_GB2312" w:hAnsi="仿宋_GB2312" w:eastAsia="仿宋_GB2312" w:cs="仿宋_GB2312"/>
          <w:b/>
          <w:color w:val="000000"/>
          <w:sz w:val="32"/>
          <w:szCs w:val="32"/>
        </w:rPr>
        <w:t>（一）一般公共预算财政拨款支出决算总体情况</w:t>
      </w:r>
      <w:bookmarkEnd w:id="34"/>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2018年一般公共预算财政拨款支出</w:t>
      </w:r>
      <w:r>
        <w:rPr>
          <w:rFonts w:hint="eastAsia" w:ascii="仿宋_GB2312" w:hAnsi="仿宋_GB2312" w:eastAsia="仿宋_GB2312" w:cs="仿宋_GB2312"/>
          <w:color w:val="000000"/>
          <w:sz w:val="32"/>
          <w:szCs w:val="32"/>
          <w:lang w:val="en-US" w:eastAsia="zh-CN"/>
        </w:rPr>
        <w:t>497.33</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%。与2017年相比，一般公共预算财政拨款增加</w:t>
      </w:r>
      <w:r>
        <w:rPr>
          <w:rFonts w:hint="eastAsia" w:ascii="仿宋_GB2312" w:hAnsi="仿宋_GB2312" w:eastAsia="仿宋_GB2312" w:cs="仿宋_GB2312"/>
          <w:color w:val="000000"/>
          <w:sz w:val="32"/>
          <w:szCs w:val="32"/>
          <w:lang w:val="en-US" w:eastAsia="zh-CN"/>
        </w:rPr>
        <w:t>80.33</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1.15</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水库工程基本结束，项目支出相应减少及人员变动等因素造成。</w:t>
      </w:r>
    </w:p>
    <w:p>
      <w:pPr>
        <w:spacing w:line="600" w:lineRule="exact"/>
        <w:ind w:firstLine="643" w:firstLineChars="200"/>
        <w:outlineLvl w:val="2"/>
        <w:rPr>
          <w:rFonts w:hint="eastAsia" w:ascii="仿宋_GB2312" w:hAnsi="仿宋_GB2312" w:eastAsia="仿宋_GB2312" w:cs="仿宋_GB2312"/>
          <w:b/>
          <w:color w:val="000000"/>
          <w:sz w:val="32"/>
          <w:szCs w:val="32"/>
        </w:rPr>
      </w:pPr>
      <w:bookmarkStart w:id="35" w:name="_Toc15377211"/>
      <w:r>
        <w:rPr>
          <w:rFonts w:hint="eastAsia" w:ascii="仿宋_GB2312" w:hAnsi="仿宋_GB2312" w:eastAsia="仿宋_GB2312" w:cs="仿宋_GB2312"/>
          <w:b/>
          <w:color w:val="000000"/>
          <w:sz w:val="32"/>
          <w:szCs w:val="32"/>
        </w:rPr>
        <w:t>（二）一般公共预算财政拨款支出决算结构情况</w:t>
      </w:r>
      <w:bookmarkEnd w:id="35"/>
    </w:p>
    <w:p>
      <w:pPr>
        <w:spacing w:line="600" w:lineRule="exact"/>
        <w:ind w:firstLine="64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sz w:val="32"/>
          <w:szCs w:val="32"/>
        </w:rPr>
        <w:t>2018年一般公共预算财</w:t>
      </w:r>
      <w:r>
        <w:rPr>
          <w:rFonts w:hint="eastAsia" w:ascii="仿宋_GB2312" w:hAnsi="仿宋_GB2312" w:eastAsia="仿宋_GB2312" w:cs="仿宋_GB2312"/>
          <w:color w:val="000000" w:themeColor="text1"/>
          <w:sz w:val="32"/>
          <w:szCs w:val="32"/>
          <w14:textFill>
            <w14:solidFill>
              <w14:schemeClr w14:val="tx1"/>
            </w14:solidFill>
          </w14:textFill>
        </w:rPr>
        <w:t>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438.64</w:t>
      </w:r>
      <w:r>
        <w:rPr>
          <w:rFonts w:hint="eastAsia" w:ascii="仿宋_GB2312" w:hAnsi="仿宋_GB2312" w:eastAsia="仿宋_GB2312" w:cs="仿宋_GB2312"/>
          <w:color w:val="000000" w:themeColor="text1"/>
          <w:sz w:val="32"/>
          <w:szCs w:val="32"/>
          <w14:textFill>
            <w14:solidFill>
              <w14:schemeClr w14:val="tx1"/>
            </w14:solidFill>
          </w14:textFill>
        </w:rPr>
        <w:t>万元，主要用于以下方面:</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438.64</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99.77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社会保障和就业（类）</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w:t>
      </w:r>
      <w:r>
        <w:rPr>
          <w:rFonts w:hint="eastAsia" w:ascii="仿宋_GB2312" w:hAnsi="仿宋_GB2312" w:eastAsia="仿宋_GB2312" w:cs="仿宋_GB2312"/>
          <w:color w:val="000000" w:themeColor="text1"/>
          <w:sz w:val="32"/>
          <w:szCs w:val="32"/>
          <w14:textFill>
            <w14:solidFill>
              <w14:schemeClr w14:val="tx1"/>
            </w14:solidFill>
          </w14:textFill>
        </w:rPr>
        <w:t>%；医疗卫生支出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1.58</w:t>
      </w:r>
      <w:r>
        <w:rPr>
          <w:rFonts w:hint="eastAsia" w:ascii="仿宋_GB2312" w:hAnsi="仿宋_GB2312" w:eastAsia="仿宋_GB2312" w:cs="仿宋_GB2312"/>
          <w:color w:val="000000" w:themeColor="text1"/>
          <w:sz w:val="32"/>
          <w:szCs w:val="32"/>
          <w14:textFill>
            <w14:solidFill>
              <w14:schemeClr w14:val="tx1"/>
            </w14:solidFill>
          </w14:textFill>
        </w:rPr>
        <w:t>%；住房保障支出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2.96</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600" w:lineRule="exact"/>
        <w:ind w:firstLine="643" w:firstLineChars="200"/>
        <w:outlineLvl w:val="2"/>
        <w:rPr>
          <w:rFonts w:hint="eastAsia" w:ascii="仿宋_GB2312" w:hAnsi="仿宋_GB2312" w:eastAsia="仿宋_GB2312" w:cs="仿宋_GB2312"/>
          <w:b/>
          <w:color w:val="000000"/>
          <w:sz w:val="32"/>
          <w:szCs w:val="32"/>
        </w:rPr>
      </w:pPr>
      <w:bookmarkStart w:id="36" w:name="_Toc15377212"/>
      <w:r>
        <w:rPr>
          <w:rFonts w:hint="eastAsia" w:ascii="仿宋_GB2312" w:hAnsi="仿宋_GB2312" w:eastAsia="仿宋_GB2312" w:cs="仿宋_GB2312"/>
          <w:b/>
          <w:color w:val="000000"/>
          <w:sz w:val="32"/>
          <w:szCs w:val="32"/>
        </w:rPr>
        <w:t>（三）一般公共预算财政拨款支出决算具体情况</w:t>
      </w:r>
      <w:bookmarkEnd w:id="36"/>
    </w:p>
    <w:p>
      <w:pPr>
        <w:spacing w:line="600" w:lineRule="exact"/>
        <w:ind w:firstLine="643" w:firstLineChars="200"/>
        <w:outlineLvl w:val="2"/>
        <w:rPr>
          <w:rFonts w:hint="eastAsia" w:ascii="仿宋_GB2312" w:hAnsi="仿宋_GB2312" w:eastAsia="仿宋_GB2312" w:cs="仿宋_GB2312"/>
          <w:color w:val="FF0000"/>
          <w:sz w:val="32"/>
          <w:szCs w:val="32"/>
        </w:rPr>
      </w:pPr>
      <w:bookmarkStart w:id="37" w:name="_Toc15378460"/>
      <w:bookmarkStart w:id="38" w:name="_Toc15377444"/>
      <w:bookmarkStart w:id="39" w:name="_Toc15377213"/>
      <w:r>
        <w:rPr>
          <w:rFonts w:hint="eastAsia" w:ascii="仿宋_GB2312" w:hAnsi="仿宋_GB2312" w:eastAsia="仿宋_GB2312" w:cs="仿宋_GB2312"/>
          <w:b/>
          <w:color w:val="000000" w:themeColor="text1"/>
          <w:sz w:val="32"/>
          <w:szCs w:val="32"/>
          <w14:textFill>
            <w14:solidFill>
              <w14:schemeClr w14:val="tx1"/>
            </w14:solidFill>
          </w14:textFill>
        </w:rPr>
        <w:t>2018年般公共预算支出决算数为</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497.33</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4"/>
          <w:rFonts w:hint="eastAsia" w:ascii="仿宋_GB2312" w:hAnsi="仿宋_GB2312" w:eastAsia="仿宋_GB2312" w:cs="仿宋_GB2312"/>
          <w:bCs/>
          <w:color w:val="000000" w:themeColor="text1"/>
          <w:sz w:val="32"/>
          <w:szCs w:val="32"/>
          <w14:textFill>
            <w14:solidFill>
              <w14:schemeClr w14:val="tx1"/>
            </w14:solidFill>
          </w14:textFill>
        </w:rPr>
        <w:t>完成</w:t>
      </w:r>
      <w:r>
        <w:rPr>
          <w:rStyle w:val="14"/>
          <w:rFonts w:hint="eastAsia" w:ascii="仿宋_GB2312" w:hAnsi="仿宋_GB2312" w:eastAsia="仿宋_GB2312" w:cs="仿宋_GB2312"/>
          <w:bCs/>
          <w:color w:val="000000"/>
          <w:sz w:val="32"/>
          <w:szCs w:val="32"/>
        </w:rPr>
        <w:t>预算</w:t>
      </w:r>
      <w:r>
        <w:rPr>
          <w:rStyle w:val="14"/>
          <w:rFonts w:hint="eastAsia" w:ascii="仿宋_GB2312" w:hAnsi="仿宋_GB2312" w:eastAsia="仿宋_GB2312" w:cs="仿宋_GB2312"/>
          <w:bCs/>
          <w:color w:val="000000"/>
          <w:sz w:val="32"/>
          <w:szCs w:val="32"/>
          <w:lang w:val="en-US" w:eastAsia="zh-CN"/>
        </w:rPr>
        <w:t>88.21</w:t>
      </w:r>
      <w:r>
        <w:rPr>
          <w:rStyle w:val="14"/>
          <w:rFonts w:hint="eastAsia" w:ascii="仿宋_GB2312" w:hAnsi="仿宋_GB2312" w:eastAsia="仿宋_GB2312" w:cs="仿宋_GB2312"/>
          <w:bCs/>
          <w:color w:val="000000"/>
          <w:sz w:val="32"/>
          <w:szCs w:val="32"/>
        </w:rPr>
        <w:t>%。其中：</w:t>
      </w:r>
      <w:bookmarkEnd w:id="37"/>
      <w:bookmarkEnd w:id="38"/>
      <w:bookmarkEnd w:id="39"/>
    </w:p>
    <w:p>
      <w:pPr>
        <w:numPr>
          <w:ilvl w:val="0"/>
          <w:numId w:val="2"/>
        </w:numPr>
        <w:spacing w:line="600" w:lineRule="exact"/>
        <w:ind w:left="0" w:leftChars="0" w:firstLine="643" w:firstLineChars="200"/>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Cs/>
          <w:color w:val="000000"/>
          <w:sz w:val="32"/>
          <w:szCs w:val="32"/>
        </w:rPr>
        <w:t>一般公共服务（类）</w:t>
      </w:r>
      <w:r>
        <w:rPr>
          <w:rStyle w:val="14"/>
          <w:rFonts w:hint="eastAsia" w:ascii="仿宋_GB2312" w:hAnsi="仿宋_GB2312" w:eastAsia="仿宋_GB2312" w:cs="仿宋_GB2312"/>
          <w:bCs/>
          <w:color w:val="000000"/>
          <w:sz w:val="32"/>
          <w:szCs w:val="32"/>
          <w:lang w:val="en-US" w:eastAsia="zh-CN"/>
        </w:rPr>
        <w:t>行政事业单位</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val="en-US" w:eastAsia="zh-CN"/>
        </w:rPr>
        <w:t>人员经费</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w:t>
      </w:r>
      <w:r>
        <w:rPr>
          <w:rStyle w:val="14"/>
          <w:rFonts w:hint="eastAsia" w:ascii="仿宋_GB2312" w:hAnsi="仿宋_GB2312" w:eastAsia="仿宋_GB2312" w:cs="仿宋_GB2312"/>
          <w:b w:val="0"/>
          <w:bCs/>
          <w:color w:val="000000"/>
          <w:sz w:val="32"/>
          <w:szCs w:val="32"/>
          <w:lang w:eastAsia="zh-CN"/>
        </w:rPr>
        <w:t>人员经支出</w:t>
      </w:r>
      <w:r>
        <w:rPr>
          <w:rStyle w:val="14"/>
          <w:rFonts w:hint="eastAsia" w:ascii="仿宋_GB2312" w:hAnsi="仿宋_GB2312" w:eastAsia="仿宋_GB2312" w:cs="仿宋_GB2312"/>
          <w:b w:val="0"/>
          <w:bCs/>
          <w:color w:val="000000"/>
          <w:sz w:val="32"/>
          <w:szCs w:val="32"/>
          <w:lang w:val="en-US" w:eastAsia="zh-CN"/>
        </w:rPr>
        <w:t>140万元，2018年</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140</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val="en-US" w:eastAsia="zh-CN"/>
        </w:rPr>
        <w:t>.</w:t>
      </w:r>
    </w:p>
    <w:p>
      <w:pPr>
        <w:numPr>
          <w:ilvl w:val="0"/>
          <w:numId w:val="2"/>
        </w:numPr>
        <w:spacing w:line="600" w:lineRule="exact"/>
        <w:ind w:left="0" w:leftChars="0" w:firstLine="643" w:firstLineChars="200"/>
        <w:rPr>
          <w:rStyle w:val="14"/>
          <w:rFonts w:hint="eastAsia" w:ascii="仿宋_GB2312" w:hAnsi="仿宋_GB2312" w:eastAsia="仿宋_GB2312" w:cs="仿宋_GB2312"/>
          <w:b w:val="0"/>
          <w:bCs/>
          <w:color w:val="000000"/>
          <w:sz w:val="32"/>
          <w:szCs w:val="32"/>
          <w:lang w:eastAsia="zh-CN"/>
        </w:rPr>
      </w:pPr>
      <w:r>
        <w:rPr>
          <w:rStyle w:val="14"/>
          <w:rFonts w:hint="eastAsia" w:ascii="仿宋_GB2312" w:hAnsi="仿宋_GB2312" w:eastAsia="仿宋_GB2312" w:cs="仿宋_GB2312"/>
          <w:bCs/>
          <w:color w:val="000000"/>
          <w:sz w:val="32"/>
          <w:szCs w:val="32"/>
        </w:rPr>
        <w:t>社会保障和就业（类）</w:t>
      </w:r>
      <w:r>
        <w:rPr>
          <w:rStyle w:val="29"/>
          <w:rFonts w:hint="eastAsia" w:ascii="仿宋_GB2312" w:hAnsi="仿宋_GB2312" w:eastAsia="仿宋_GB2312" w:cs="仿宋_GB2312"/>
          <w:b w:val="0"/>
          <w:color w:val="000000"/>
          <w:sz w:val="32"/>
          <w:szCs w:val="32"/>
        </w:rPr>
        <w:t>机关事业单位基本养老保险缴费支出</w:t>
      </w:r>
      <w:r>
        <w:rPr>
          <w:rStyle w:val="29"/>
          <w:rFonts w:hint="eastAsia" w:ascii="仿宋_GB2312" w:hAnsi="仿宋_GB2312" w:eastAsia="仿宋_GB2312" w:cs="仿宋_GB2312"/>
          <w:b w:val="0"/>
          <w:color w:val="000000"/>
          <w:sz w:val="32"/>
          <w:szCs w:val="32"/>
          <w:lang w:eastAsia="zh-CN"/>
        </w:rPr>
        <w:t>（项），</w:t>
      </w:r>
      <w:r>
        <w:rPr>
          <w:rStyle w:val="29"/>
          <w:rFonts w:hint="eastAsia" w:ascii="仿宋_GB2312" w:hAnsi="仿宋_GB2312" w:eastAsia="仿宋_GB2312" w:cs="仿宋_GB2312"/>
          <w:b w:val="0"/>
          <w:color w:val="000000"/>
          <w:sz w:val="32"/>
          <w:szCs w:val="32"/>
          <w:lang w:val="en-US" w:eastAsia="zh-CN"/>
        </w:rPr>
        <w:t>2018</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12.77</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numPr>
          <w:ilvl w:val="0"/>
          <w:numId w:val="2"/>
        </w:numPr>
        <w:spacing w:line="600" w:lineRule="exact"/>
        <w:ind w:left="0" w:leftChars="0" w:firstLine="643" w:firstLineChars="200"/>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Cs/>
          <w:color w:val="000000"/>
          <w:sz w:val="32"/>
          <w:szCs w:val="32"/>
        </w:rPr>
        <w:t>社会保障和就业（类）</w:t>
      </w:r>
      <w:r>
        <w:rPr>
          <w:rStyle w:val="14"/>
          <w:rFonts w:hint="eastAsia" w:ascii="仿宋_GB2312" w:hAnsi="仿宋_GB2312" w:eastAsia="仿宋_GB2312" w:cs="仿宋_GB2312"/>
          <w:bCs/>
          <w:color w:val="000000"/>
          <w:sz w:val="32"/>
          <w:szCs w:val="32"/>
          <w:lang w:eastAsia="zh-CN"/>
        </w:rPr>
        <w:t>行政事业单位（款）</w:t>
      </w:r>
      <w:r>
        <w:rPr>
          <w:rStyle w:val="14"/>
          <w:rFonts w:hint="eastAsia" w:ascii="仿宋_GB2312" w:hAnsi="仿宋_GB2312" w:eastAsia="仿宋_GB2312" w:cs="仿宋_GB2312"/>
          <w:b w:val="0"/>
          <w:bCs/>
          <w:color w:val="000000"/>
          <w:sz w:val="32"/>
          <w:szCs w:val="32"/>
        </w:rPr>
        <w:t>职业年金缴费</w:t>
      </w:r>
      <w:r>
        <w:rPr>
          <w:rStyle w:val="14"/>
          <w:rFonts w:hint="eastAsia" w:ascii="仿宋_GB2312" w:hAnsi="仿宋_GB2312" w:eastAsia="仿宋_GB2312" w:cs="仿宋_GB2312"/>
          <w:b w:val="0"/>
          <w:bCs/>
          <w:color w:val="000000"/>
          <w:sz w:val="32"/>
          <w:szCs w:val="32"/>
          <w:lang w:eastAsia="zh-CN"/>
        </w:rPr>
        <w:t>支出</w:t>
      </w:r>
      <w:r>
        <w:rPr>
          <w:rStyle w:val="29"/>
          <w:rFonts w:hint="eastAsia" w:ascii="仿宋_GB2312" w:hAnsi="仿宋_GB2312" w:eastAsia="仿宋_GB2312" w:cs="仿宋_GB2312"/>
          <w:b w:val="0"/>
          <w:color w:val="000000"/>
          <w:sz w:val="32"/>
          <w:szCs w:val="32"/>
          <w:lang w:eastAsia="zh-CN"/>
        </w:rPr>
        <w:t>（项）</w:t>
      </w:r>
      <w:r>
        <w:rPr>
          <w:rStyle w:val="14"/>
          <w:rFonts w:hint="eastAsia" w:ascii="仿宋_GB2312" w:hAnsi="仿宋_GB2312" w:eastAsia="仿宋_GB2312" w:cs="仿宋_GB2312"/>
          <w:b w:val="0"/>
          <w:bCs/>
          <w:color w:val="000000"/>
          <w:sz w:val="32"/>
          <w:szCs w:val="32"/>
          <w:lang w:val="en-US" w:eastAsia="zh-CN"/>
        </w:rPr>
        <w:t>5.09万元，2018年</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5.09</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val="en-US" w:eastAsia="zh-CN"/>
        </w:rPr>
        <w:t>.</w:t>
      </w:r>
    </w:p>
    <w:p>
      <w:pPr>
        <w:numPr>
          <w:ilvl w:val="0"/>
          <w:numId w:val="2"/>
        </w:numPr>
        <w:spacing w:line="600" w:lineRule="exact"/>
        <w:ind w:left="0" w:leftChars="0" w:firstLine="643" w:firstLineChars="200"/>
        <w:rPr>
          <w:rStyle w:val="14"/>
          <w:rFonts w:hint="eastAsia" w:ascii="仿宋_GB2312" w:hAnsi="仿宋_GB2312" w:eastAsia="仿宋_GB2312" w:cs="仿宋_GB2312"/>
          <w:b w:val="0"/>
          <w:bCs/>
          <w:color w:val="000000"/>
          <w:sz w:val="32"/>
          <w:szCs w:val="32"/>
          <w:lang w:eastAsia="zh-CN"/>
        </w:rPr>
      </w:pPr>
      <w:r>
        <w:rPr>
          <w:rStyle w:val="14"/>
          <w:rFonts w:hint="eastAsia" w:ascii="仿宋_GB2312" w:hAnsi="仿宋_GB2312" w:eastAsia="仿宋_GB2312" w:cs="仿宋_GB2312"/>
          <w:bCs/>
          <w:color w:val="000000"/>
          <w:sz w:val="32"/>
          <w:szCs w:val="32"/>
        </w:rPr>
        <w:t>医疗卫生与计划生育（类）</w:t>
      </w:r>
      <w:r>
        <w:rPr>
          <w:rStyle w:val="14"/>
          <w:rFonts w:hint="eastAsia" w:ascii="仿宋_GB2312" w:hAnsi="仿宋_GB2312" w:eastAsia="仿宋_GB2312" w:cs="仿宋_GB2312"/>
          <w:bCs/>
          <w:color w:val="000000"/>
          <w:sz w:val="32"/>
          <w:szCs w:val="32"/>
          <w:lang w:val="en-US" w:eastAsia="zh-CN"/>
        </w:rPr>
        <w:t>行政事业单位</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val="en-US" w:eastAsia="zh-CN"/>
        </w:rPr>
        <w:t>职工基本医疗保险缴费（</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Cs/>
          <w:color w:val="000000"/>
          <w:sz w:val="32"/>
          <w:szCs w:val="32"/>
          <w:lang w:eastAsia="zh-CN"/>
        </w:rPr>
        <w:t>医疗保险</w:t>
      </w:r>
      <w:r>
        <w:rPr>
          <w:rStyle w:val="14"/>
          <w:rFonts w:hint="eastAsia" w:ascii="仿宋_GB2312" w:hAnsi="仿宋_GB2312" w:eastAsia="仿宋_GB2312" w:cs="仿宋_GB2312"/>
          <w:b w:val="0"/>
          <w:bCs/>
          <w:color w:val="000000"/>
          <w:sz w:val="32"/>
          <w:szCs w:val="32"/>
        </w:rPr>
        <w:t>支出</w:t>
      </w:r>
      <w:r>
        <w:rPr>
          <w:rStyle w:val="14"/>
          <w:rFonts w:hint="eastAsia" w:ascii="仿宋_GB2312" w:hAnsi="仿宋_GB2312" w:eastAsia="仿宋_GB2312" w:cs="仿宋_GB2312"/>
          <w:b w:val="0"/>
          <w:bCs/>
          <w:color w:val="000000"/>
          <w:sz w:val="32"/>
          <w:szCs w:val="32"/>
          <w:lang w:val="en-US" w:eastAsia="zh-CN"/>
        </w:rPr>
        <w:t>7万元，2018年</w:t>
      </w:r>
      <w:r>
        <w:rPr>
          <w:rStyle w:val="14"/>
          <w:rFonts w:hint="eastAsia" w:ascii="仿宋_GB2312" w:hAnsi="仿宋_GB2312" w:eastAsia="仿宋_GB2312" w:cs="仿宋_GB2312"/>
          <w:b w:val="0"/>
          <w:bCs/>
          <w:color w:val="000000"/>
          <w:sz w:val="32"/>
          <w:szCs w:val="32"/>
        </w:rPr>
        <w:t>决算</w:t>
      </w:r>
      <w:r>
        <w:rPr>
          <w:rStyle w:val="14"/>
          <w:rFonts w:hint="eastAsia" w:ascii="仿宋_GB2312" w:hAnsi="仿宋_GB2312" w:eastAsia="仿宋_GB2312" w:cs="仿宋_GB2312"/>
          <w:b w:val="0"/>
          <w:bCs/>
          <w:color w:val="000000"/>
          <w:sz w:val="32"/>
          <w:szCs w:val="32"/>
          <w:lang w:eastAsia="zh-CN"/>
        </w:rPr>
        <w:t>支出</w:t>
      </w:r>
      <w:r>
        <w:rPr>
          <w:rStyle w:val="14"/>
          <w:rFonts w:hint="eastAsia" w:ascii="仿宋_GB2312" w:hAnsi="仿宋_GB2312" w:eastAsia="仿宋_GB2312" w:cs="仿宋_GB2312"/>
          <w:b w:val="0"/>
          <w:bCs/>
          <w:color w:val="000000"/>
          <w:sz w:val="32"/>
          <w:szCs w:val="32"/>
        </w:rPr>
        <w:t>为</w:t>
      </w:r>
      <w:r>
        <w:rPr>
          <w:rStyle w:val="14"/>
          <w:rFonts w:hint="eastAsia" w:ascii="仿宋_GB2312" w:hAnsi="仿宋_GB2312" w:eastAsia="仿宋_GB2312" w:cs="仿宋_GB2312"/>
          <w:b w:val="0"/>
          <w:bCs/>
          <w:color w:val="000000"/>
          <w:sz w:val="32"/>
          <w:szCs w:val="32"/>
          <w:lang w:val="en-US" w:eastAsia="zh-CN"/>
        </w:rPr>
        <w:t>7</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numPr>
          <w:ilvl w:val="0"/>
          <w:numId w:val="2"/>
        </w:numPr>
        <w:spacing w:line="600" w:lineRule="exact"/>
        <w:ind w:left="0" w:leftChars="0" w:firstLine="643"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rPr>
        <w:t>社会保障和就业（类）</w:t>
      </w:r>
      <w:r>
        <w:rPr>
          <w:rStyle w:val="14"/>
          <w:rFonts w:hint="eastAsia" w:ascii="仿宋_GB2312" w:hAnsi="仿宋_GB2312" w:eastAsia="仿宋_GB2312" w:cs="仿宋_GB2312"/>
          <w:bCs/>
          <w:color w:val="000000"/>
          <w:sz w:val="32"/>
          <w:szCs w:val="32"/>
          <w:lang w:val="en-US" w:eastAsia="zh-CN"/>
        </w:rPr>
        <w:t>行政事业单位</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 w:val="0"/>
          <w:bCs/>
          <w:color w:val="000000"/>
          <w:sz w:val="32"/>
          <w:szCs w:val="32"/>
          <w:lang w:val="en-US" w:eastAsia="zh-CN"/>
        </w:rPr>
        <w:t>住房保障支出（项）13万元，</w:t>
      </w:r>
      <w:r>
        <w:rPr>
          <w:rStyle w:val="14"/>
          <w:rFonts w:hint="eastAsia" w:ascii="仿宋_GB2312" w:hAnsi="仿宋_GB2312" w:eastAsia="仿宋_GB2312" w:cs="仿宋_GB2312"/>
          <w:b w:val="0"/>
          <w:bCs/>
          <w:color w:val="000000"/>
          <w:sz w:val="32"/>
          <w:szCs w:val="32"/>
        </w:rPr>
        <w:t>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tabs>
          <w:tab w:val="right" w:pos="8306"/>
        </w:tabs>
        <w:spacing w:line="600" w:lineRule="exact"/>
        <w:ind w:firstLine="640"/>
        <w:outlineLvl w:val="1"/>
        <w:rPr>
          <w:rStyle w:val="25"/>
          <w:rFonts w:hint="eastAsia" w:ascii="仿宋_GB2312" w:hAnsi="仿宋_GB2312" w:eastAsia="仿宋_GB2312" w:cs="仿宋_GB2312"/>
        </w:rPr>
      </w:pPr>
      <w:bookmarkStart w:id="40" w:name="_Toc15377214"/>
      <w:bookmarkStart w:id="41" w:name="_Toc15396608"/>
      <w:r>
        <w:rPr>
          <w:rFonts w:hint="eastAsia" w:ascii="仿宋_GB2312" w:hAnsi="仿宋_GB2312" w:eastAsia="仿宋_GB2312" w:cs="仿宋_GB2312"/>
          <w:b/>
          <w:bCs/>
          <w:color w:val="000000"/>
          <w:sz w:val="32"/>
          <w:szCs w:val="32"/>
        </w:rPr>
        <w:t>六、一</w:t>
      </w:r>
      <w:r>
        <w:rPr>
          <w:rStyle w:val="25"/>
          <w:rFonts w:hint="eastAsia" w:ascii="仿宋_GB2312" w:hAnsi="仿宋_GB2312" w:eastAsia="仿宋_GB2312" w:cs="仿宋_GB2312"/>
          <w:b/>
          <w:bCs/>
        </w:rPr>
        <w:t>般公共预算财政拨款基本支出决算情况说明</w:t>
      </w:r>
      <w:bookmarkEnd w:id="40"/>
      <w:bookmarkEnd w:id="41"/>
      <w:r>
        <w:rPr>
          <w:rStyle w:val="25"/>
          <w:rFonts w:hint="eastAsia" w:ascii="仿宋_GB2312" w:hAnsi="仿宋_GB2312" w:eastAsia="仿宋_GB2312" w:cs="仿宋_GB2312"/>
          <w:b w:val="0"/>
        </w:rPr>
        <w:tab/>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2018年一般公共预算财政拨款基本支出</w:t>
      </w:r>
      <w:r>
        <w:rPr>
          <w:rFonts w:hint="eastAsia" w:ascii="仿宋_GB2312" w:hAnsi="仿宋_GB2312" w:eastAsia="仿宋_GB2312" w:cs="仿宋_GB2312"/>
          <w:color w:val="000000"/>
          <w:sz w:val="32"/>
          <w:szCs w:val="32"/>
          <w:lang w:val="en-US" w:eastAsia="zh-CN"/>
        </w:rPr>
        <w:t>193.73</w:t>
      </w:r>
      <w:r>
        <w:rPr>
          <w:rFonts w:hint="eastAsia" w:ascii="仿宋_GB2312" w:hAnsi="仿宋_GB2312" w:eastAsia="仿宋_GB2312" w:cs="仿宋_GB2312"/>
          <w:color w:val="000000"/>
          <w:sz w:val="32"/>
          <w:szCs w:val="32"/>
        </w:rPr>
        <w:t>万元，其中：</w:t>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177.52</w:t>
      </w:r>
      <w:r>
        <w:rPr>
          <w:rFonts w:hint="eastAsia" w:ascii="仿宋_GB2312" w:hAnsi="仿宋_GB2312" w:eastAsia="仿宋_GB2312" w:cs="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公用经费</w:t>
      </w:r>
      <w:r>
        <w:rPr>
          <w:rFonts w:hint="eastAsia" w:ascii="仿宋_GB2312" w:hAnsi="仿宋_GB2312" w:eastAsia="仿宋_GB2312" w:cs="仿宋_GB2312"/>
          <w:color w:val="000000"/>
          <w:sz w:val="32"/>
          <w:szCs w:val="32"/>
          <w:lang w:val="en-US" w:eastAsia="zh-CN"/>
        </w:rPr>
        <w:t>16.18</w:t>
      </w:r>
      <w:r>
        <w:rPr>
          <w:rFonts w:hint="eastAsia" w:ascii="仿宋_GB2312" w:hAnsi="仿宋_GB2312" w:eastAsia="仿宋_GB2312" w:cs="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其他商品和服务支出、办公设备购置、专用设备购置、信息网络及软件购置更新、其他资本性支出等。</w:t>
      </w:r>
    </w:p>
    <w:p>
      <w:pPr>
        <w:spacing w:line="600" w:lineRule="exact"/>
        <w:ind w:firstLine="640"/>
        <w:rPr>
          <w:rFonts w:hint="eastAsia" w:ascii="仿宋_GB2312" w:hAnsi="仿宋_GB2312" w:eastAsia="仿宋_GB2312" w:cs="仿宋_GB2312"/>
          <w:b/>
          <w:color w:val="FF0000"/>
          <w:sz w:val="32"/>
          <w:szCs w:val="32"/>
        </w:rPr>
      </w:pPr>
    </w:p>
    <w:p>
      <w:pPr>
        <w:spacing w:line="600" w:lineRule="exact"/>
        <w:ind w:firstLine="640"/>
        <w:outlineLvl w:val="1"/>
        <w:rPr>
          <w:rStyle w:val="25"/>
          <w:rFonts w:hint="eastAsia" w:ascii="仿宋_GB2312" w:hAnsi="仿宋_GB2312" w:eastAsia="仿宋_GB2312" w:cs="仿宋_GB2312"/>
          <w:b w:val="0"/>
        </w:rPr>
      </w:pPr>
      <w:bookmarkStart w:id="42" w:name="_Toc15377215"/>
      <w:bookmarkStart w:id="43" w:name="_Toc15396609"/>
      <w:r>
        <w:rPr>
          <w:rFonts w:hint="eastAsia" w:ascii="仿宋_GB2312" w:hAnsi="仿宋_GB2312" w:eastAsia="仿宋_GB2312" w:cs="仿宋_GB2312"/>
          <w:color w:val="000000"/>
          <w:sz w:val="32"/>
          <w:szCs w:val="32"/>
        </w:rPr>
        <w:t>七、</w:t>
      </w:r>
      <w:r>
        <w:rPr>
          <w:rStyle w:val="25"/>
          <w:rFonts w:hint="eastAsia" w:ascii="仿宋_GB2312" w:hAnsi="仿宋_GB2312" w:eastAsia="仿宋_GB2312" w:cs="仿宋_GB2312"/>
        </w:rPr>
        <w:t>“</w:t>
      </w:r>
      <w:r>
        <w:rPr>
          <w:rStyle w:val="25"/>
          <w:rFonts w:hint="eastAsia" w:ascii="仿宋_GB2312" w:hAnsi="仿宋_GB2312" w:eastAsia="仿宋_GB2312" w:cs="仿宋_GB2312"/>
          <w:b w:val="0"/>
        </w:rPr>
        <w:t>三公”经费财政拨款支出决算情况说明</w:t>
      </w:r>
      <w:bookmarkEnd w:id="42"/>
      <w:bookmarkEnd w:id="43"/>
    </w:p>
    <w:p>
      <w:pPr>
        <w:spacing w:line="600" w:lineRule="exact"/>
        <w:ind w:firstLine="640"/>
        <w:outlineLvl w:val="2"/>
        <w:rPr>
          <w:rFonts w:hint="eastAsia" w:ascii="仿宋_GB2312" w:hAnsi="仿宋_GB2312" w:eastAsia="仿宋_GB2312" w:cs="仿宋_GB2312"/>
          <w:b/>
          <w:color w:val="000000"/>
          <w:sz w:val="32"/>
          <w:szCs w:val="32"/>
        </w:rPr>
      </w:pPr>
      <w:bookmarkStart w:id="44" w:name="_Toc15377216"/>
      <w:r>
        <w:rPr>
          <w:rFonts w:hint="eastAsia" w:ascii="仿宋_GB2312" w:hAnsi="仿宋_GB2312" w:eastAsia="仿宋_GB2312" w:cs="仿宋_GB2312"/>
          <w:b/>
          <w:color w:val="000000"/>
          <w:sz w:val="32"/>
          <w:szCs w:val="32"/>
        </w:rPr>
        <w:t>（一）“三公”经费财政拨款支出决算总体情况说明</w:t>
      </w:r>
      <w:bookmarkEnd w:id="44"/>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2018年“三公”经费财政拨款支出决算为</w:t>
      </w:r>
      <w:r>
        <w:rPr>
          <w:rFonts w:hint="eastAsia" w:ascii="仿宋_GB2312" w:hAnsi="仿宋_GB2312" w:eastAsia="仿宋_GB2312" w:cs="仿宋_GB2312"/>
          <w:color w:val="000000"/>
          <w:sz w:val="32"/>
          <w:szCs w:val="32"/>
          <w:lang w:val="en-US" w:eastAsia="zh-CN"/>
        </w:rPr>
        <w:t>4.09</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44.45</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eastAsia="zh-CN"/>
        </w:rPr>
        <w:t>执行政策实行公务车改革及八项规定厉行节约。</w:t>
      </w:r>
    </w:p>
    <w:p>
      <w:pPr>
        <w:spacing w:line="600" w:lineRule="exact"/>
        <w:ind w:firstLine="640"/>
        <w:outlineLvl w:val="2"/>
        <w:rPr>
          <w:rFonts w:hint="eastAsia" w:ascii="仿宋_GB2312" w:hAnsi="仿宋_GB2312" w:eastAsia="仿宋_GB2312" w:cs="仿宋_GB2312"/>
          <w:b/>
          <w:color w:val="000000"/>
          <w:sz w:val="32"/>
          <w:szCs w:val="32"/>
        </w:rPr>
      </w:pPr>
      <w:bookmarkStart w:id="45" w:name="_Toc15377217"/>
      <w:r>
        <w:rPr>
          <w:rFonts w:hint="eastAsia" w:ascii="仿宋_GB2312" w:hAnsi="仿宋_GB2312" w:eastAsia="仿宋_GB2312" w:cs="仿宋_GB2312"/>
          <w:b/>
          <w:color w:val="000000"/>
          <w:sz w:val="32"/>
          <w:szCs w:val="32"/>
        </w:rPr>
        <w:t>（二）“三公”经费财政拨款支出决算具体情况说明</w:t>
      </w:r>
      <w:bookmarkEnd w:id="45"/>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2018年“三公”经费财政拨款支出决算中，因公出国（境）费支出决算</w:t>
      </w:r>
      <w:r>
        <w:rPr>
          <w:rFonts w:hint="eastAsia" w:ascii="仿宋_GB2312" w:hAnsi="仿宋_GB2312" w:eastAsia="仿宋_GB2312" w:cs="仿宋_GB2312"/>
          <w:color w:val="000000"/>
          <w:sz w:val="32"/>
          <w:szCs w:val="32"/>
          <w:lang w:val="en-US" w:eastAsia="zh-CN"/>
        </w:rPr>
        <w:t>4.09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44.45</w:t>
      </w:r>
      <w:r>
        <w:rPr>
          <w:rFonts w:hint="eastAsia" w:ascii="仿宋_GB2312" w:hAnsi="仿宋_GB2312" w:eastAsia="仿宋_GB2312" w:cs="仿宋_GB2312"/>
          <w:color w:val="000000"/>
          <w:sz w:val="32"/>
          <w:szCs w:val="32"/>
        </w:rPr>
        <w:t>%；公务用车购置及运行维护费支出决算</w:t>
      </w:r>
      <w:r>
        <w:rPr>
          <w:rFonts w:hint="eastAsia" w:ascii="仿宋_GB2312" w:hAnsi="仿宋_GB2312" w:eastAsia="仿宋_GB2312" w:cs="仿宋_GB2312"/>
          <w:color w:val="000000"/>
          <w:sz w:val="32"/>
          <w:szCs w:val="32"/>
          <w:lang w:val="en-US" w:eastAsia="zh-CN"/>
        </w:rPr>
        <w:t>3.02</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41.9</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1.07</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53.5</w:t>
      </w:r>
      <w:r>
        <w:rPr>
          <w:rFonts w:hint="eastAsia" w:ascii="仿宋_GB2312" w:hAnsi="仿宋_GB2312" w:eastAsia="仿宋_GB2312" w:cs="仿宋_GB2312"/>
          <w:color w:val="000000"/>
          <w:sz w:val="32"/>
          <w:szCs w:val="32"/>
        </w:rPr>
        <w:t>%。具体情况如下：</w:t>
      </w:r>
    </w:p>
    <w:p>
      <w:pPr>
        <w:spacing w:line="600" w:lineRule="exact"/>
        <w:ind w:firstLine="64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1.因公出国（境）经费支出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Style w:val="14"/>
          <w:rFonts w:hint="eastAsia" w:ascii="仿宋_GB2312" w:hAnsi="仿宋_GB2312" w:eastAsia="仿宋_GB2312" w:cs="仿宋_GB2312"/>
          <w:b w:val="0"/>
          <w:bCs/>
          <w:color w:val="000000"/>
          <w:sz w:val="32"/>
          <w:szCs w:val="32"/>
        </w:rPr>
        <w:t>完成预算</w:t>
      </w:r>
      <w:r>
        <w:rPr>
          <w:rStyle w:val="14"/>
          <w:rFonts w:hint="eastAsia" w:ascii="仿宋_GB2312" w:hAnsi="仿宋_GB2312" w:eastAsia="仿宋_GB2312" w:cs="仿宋_GB2312"/>
          <w:b w:val="0"/>
          <w:bCs/>
          <w:color w:val="000000"/>
          <w:sz w:val="32"/>
          <w:szCs w:val="32"/>
          <w:lang w:val="en-US" w:eastAsia="zh-CN"/>
        </w:rPr>
        <w:t>0</w:t>
      </w:r>
      <w:r>
        <w:rPr>
          <w:rStyle w:val="14"/>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全年安排因公出国（境）团组</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次，出国（境）</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人。因公出国（境）支出决算比2017年增加/减少</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万元，增长/下降</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eastAsia="zh-CN"/>
        </w:rPr>
        <w:t>无出国</w:t>
      </w:r>
      <w:r>
        <w:rPr>
          <w:rFonts w:hint="eastAsia" w:ascii="仿宋_GB2312" w:hAnsi="仿宋_GB2312" w:eastAsia="仿宋_GB2312" w:cs="仿宋_GB2312"/>
          <w:color w:val="000000"/>
          <w:sz w:val="32"/>
          <w:szCs w:val="32"/>
        </w:rPr>
        <w:t>。</w:t>
      </w:r>
    </w:p>
    <w:p>
      <w:pPr>
        <w:spacing w:line="600" w:lineRule="exact"/>
        <w:ind w:firstLine="64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lang w:val="en-US" w:eastAsia="zh-CN"/>
        </w:rPr>
        <w:t>3.02</w:t>
      </w:r>
      <w:r>
        <w:rPr>
          <w:rFonts w:hint="eastAsia" w:ascii="仿宋_GB2312" w:hAnsi="仿宋_GB2312" w:eastAsia="仿宋_GB2312" w:cs="仿宋_GB2312"/>
          <w:color w:val="000000"/>
          <w:sz w:val="32"/>
          <w:szCs w:val="32"/>
        </w:rPr>
        <w:t>万元,</w:t>
      </w:r>
      <w:r>
        <w:rPr>
          <w:rStyle w:val="14"/>
          <w:rFonts w:hint="eastAsia" w:ascii="仿宋_GB2312" w:hAnsi="仿宋_GB2312" w:eastAsia="仿宋_GB2312" w:cs="仿宋_GB2312"/>
          <w:b w:val="0"/>
          <w:bCs/>
          <w:color w:val="000000"/>
          <w:sz w:val="32"/>
          <w:szCs w:val="32"/>
        </w:rPr>
        <w:t>完成预算</w:t>
      </w:r>
      <w:r>
        <w:rPr>
          <w:rStyle w:val="14"/>
          <w:rFonts w:hint="eastAsia" w:ascii="仿宋_GB2312" w:hAnsi="仿宋_GB2312" w:eastAsia="仿宋_GB2312" w:cs="仿宋_GB2312"/>
          <w:b w:val="0"/>
          <w:bCs/>
          <w:color w:val="000000"/>
          <w:sz w:val="32"/>
          <w:szCs w:val="32"/>
          <w:lang w:val="en-US" w:eastAsia="zh-CN"/>
        </w:rPr>
        <w:t>44.45</w:t>
      </w:r>
      <w:r>
        <w:rPr>
          <w:rStyle w:val="14"/>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公务用车购置及运行维护费支出决算比2017年增加/减少</w:t>
      </w:r>
      <w:r>
        <w:rPr>
          <w:rFonts w:hint="eastAsia" w:ascii="仿宋_GB2312" w:hAnsi="仿宋_GB2312" w:eastAsia="仿宋_GB2312" w:cs="仿宋_GB2312"/>
          <w:color w:val="000000"/>
          <w:sz w:val="32"/>
          <w:szCs w:val="32"/>
          <w:lang w:val="en-US" w:eastAsia="zh-CN"/>
        </w:rPr>
        <w:t>4.1</w:t>
      </w:r>
      <w:r>
        <w:rPr>
          <w:rFonts w:hint="eastAsia" w:ascii="仿宋_GB2312" w:hAnsi="仿宋_GB2312" w:eastAsia="仿宋_GB2312" w:cs="仿宋_GB2312"/>
          <w:color w:val="000000"/>
          <w:sz w:val="32"/>
          <w:szCs w:val="32"/>
        </w:rPr>
        <w:t>万元，增长/下降</w:t>
      </w:r>
      <w:r>
        <w:rPr>
          <w:rFonts w:hint="eastAsia" w:ascii="仿宋_GB2312" w:hAnsi="仿宋_GB2312" w:eastAsia="仿宋_GB2312" w:cs="仿宋_GB2312"/>
          <w:color w:val="000000"/>
          <w:sz w:val="32"/>
          <w:szCs w:val="32"/>
          <w:lang w:val="en-US" w:eastAsia="zh-CN"/>
        </w:rPr>
        <w:t>135.76</w:t>
      </w:r>
      <w:r>
        <w:rPr>
          <w:rFonts w:hint="eastAsia" w:ascii="仿宋_GB2312" w:hAnsi="仿宋_GB2312" w:eastAsia="仿宋_GB2312" w:cs="仿宋_GB2312"/>
          <w:color w:val="000000"/>
          <w:sz w:val="32"/>
          <w:szCs w:val="32"/>
        </w:rPr>
        <w:t>%。主要</w:t>
      </w:r>
      <w:r>
        <w:rPr>
          <w:rFonts w:hint="eastAsia" w:ascii="仿宋_GB2312" w:hAnsi="仿宋_GB2312" w:eastAsia="仿宋_GB2312" w:cs="仿宋_GB2312"/>
          <w:color w:val="333333"/>
          <w:sz w:val="32"/>
          <w:szCs w:val="32"/>
        </w:rPr>
        <w:t>减</w:t>
      </w:r>
      <w:r>
        <w:rPr>
          <w:rFonts w:hint="eastAsia" w:ascii="仿宋_GB2312" w:hAnsi="仿宋_GB2312" w:eastAsia="仿宋_GB2312" w:cs="仿宋_GB2312"/>
          <w:color w:val="333333"/>
          <w:sz w:val="32"/>
          <w:szCs w:val="32"/>
          <w:lang w:eastAsia="zh-CN"/>
        </w:rPr>
        <w:t>少</w:t>
      </w:r>
      <w:r>
        <w:rPr>
          <w:rFonts w:hint="eastAsia" w:ascii="仿宋_GB2312" w:hAnsi="仿宋_GB2312" w:eastAsia="仿宋_GB2312" w:cs="仿宋_GB2312"/>
          <w:color w:val="000000"/>
          <w:sz w:val="32"/>
          <w:szCs w:val="32"/>
        </w:rPr>
        <w:t>原因</w:t>
      </w:r>
      <w:r>
        <w:rPr>
          <w:rFonts w:hint="eastAsia" w:ascii="仿宋_GB2312" w:hAnsi="仿宋_GB2312" w:eastAsia="仿宋_GB2312" w:cs="仿宋_GB2312"/>
          <w:color w:val="000000"/>
          <w:sz w:val="32"/>
          <w:szCs w:val="32"/>
          <w:lang w:eastAsia="zh-CN"/>
        </w:rPr>
        <w:t>是</w:t>
      </w:r>
      <w:r>
        <w:rPr>
          <w:rFonts w:hint="eastAsia" w:ascii="仿宋_GB2312" w:hAnsi="仿宋_GB2312" w:eastAsia="仿宋_GB2312" w:cs="仿宋_GB2312"/>
          <w:color w:val="333333"/>
          <w:sz w:val="32"/>
          <w:szCs w:val="32"/>
        </w:rPr>
        <w:t>认真贯彻党中央八项规定，公务车改革</w:t>
      </w:r>
    </w:p>
    <w:p>
      <w:pPr>
        <w:spacing w:line="600" w:lineRule="exact"/>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color w:val="000000"/>
          <w:sz w:val="32"/>
          <w:szCs w:val="32"/>
        </w:rPr>
        <w:t>公务用车购置支出</w:t>
      </w:r>
      <w:r>
        <w:rPr>
          <w:rFonts w:hint="eastAsia" w:ascii="仿宋_GB2312" w:hAnsi="仿宋_GB2312" w:eastAsia="仿宋_GB2312" w:cs="仿宋_GB2312"/>
          <w:b/>
          <w:color w:val="000000"/>
          <w:sz w:val="32"/>
          <w:szCs w:val="32"/>
          <w:lang w:val="en-US" w:eastAsia="zh-CN"/>
        </w:rPr>
        <w:t>0</w:t>
      </w:r>
      <w:r>
        <w:rPr>
          <w:rFonts w:hint="eastAsia" w:ascii="仿宋_GB2312" w:hAnsi="仿宋_GB2312" w:eastAsia="仿宋_GB2312" w:cs="仿宋_GB2312"/>
          <w:color w:val="000000"/>
          <w:sz w:val="32"/>
          <w:szCs w:val="32"/>
        </w:rPr>
        <w:t>万元。全年按规定更新购置公务用车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辆，其中：轿车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辆、金额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万元，越野车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辆、金额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万元，载客汽车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辆、金额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万元，主要用于…。截至2018年12月底，单位共有公务用车</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辆，其中：轿车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辆、越野车</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辆、载客汽车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公务用车运行维护费支出</w:t>
      </w:r>
      <w:r>
        <w:rPr>
          <w:rFonts w:hint="eastAsia" w:ascii="仿宋_GB2312" w:hAnsi="仿宋_GB2312" w:eastAsia="仿宋_GB2312" w:cs="仿宋_GB2312"/>
          <w:color w:val="000000"/>
          <w:sz w:val="32"/>
          <w:szCs w:val="32"/>
          <w:lang w:val="en-US" w:eastAsia="zh-CN"/>
        </w:rPr>
        <w:t>3.02</w:t>
      </w:r>
      <w:r>
        <w:rPr>
          <w:rFonts w:hint="eastAsia" w:ascii="仿宋_GB2312" w:hAnsi="仿宋_GB2312" w:eastAsia="仿宋_GB2312" w:cs="仿宋_GB2312"/>
          <w:color w:val="000000"/>
          <w:sz w:val="32"/>
          <w:szCs w:val="32"/>
        </w:rPr>
        <w:t>万元。主要用于2018年公务用车购置及运行维护3.02万元，主要用于单位工作正常运转需要（办公地点离城区15公里）等所需的公务用车燃料费、维修费、过路过桥费、保险费等支出。（具体工作）等所需的公务用车燃料费、维修费、过路过桥费、保险费等支出。</w:t>
      </w:r>
    </w:p>
    <w:p>
      <w:pPr>
        <w:numPr>
          <w:ilvl w:val="0"/>
          <w:numId w:val="3"/>
        </w:num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rPr>
        <w:t>公务接待费支出</w:t>
      </w:r>
      <w:r>
        <w:rPr>
          <w:rFonts w:hint="eastAsia" w:ascii="仿宋_GB2312" w:hAnsi="仿宋_GB2312" w:eastAsia="仿宋_GB2312" w:cs="仿宋_GB2312"/>
          <w:color w:val="000000"/>
          <w:sz w:val="32"/>
          <w:szCs w:val="32"/>
          <w:lang w:val="en-US" w:eastAsia="zh-CN"/>
        </w:rPr>
        <w:t>1.07</w:t>
      </w:r>
      <w:r>
        <w:rPr>
          <w:rFonts w:hint="eastAsia" w:ascii="仿宋_GB2312" w:hAnsi="仿宋_GB2312" w:eastAsia="仿宋_GB2312" w:cs="仿宋_GB2312"/>
          <w:color w:val="000000"/>
          <w:sz w:val="32"/>
          <w:szCs w:val="32"/>
        </w:rPr>
        <w:t>万元，</w:t>
      </w:r>
      <w:r>
        <w:rPr>
          <w:rStyle w:val="14"/>
          <w:rFonts w:hint="eastAsia" w:ascii="仿宋_GB2312" w:hAnsi="仿宋_GB2312" w:eastAsia="仿宋_GB2312" w:cs="仿宋_GB2312"/>
          <w:b w:val="0"/>
          <w:bCs/>
          <w:color w:val="000000"/>
          <w:sz w:val="32"/>
          <w:szCs w:val="32"/>
        </w:rPr>
        <w:t>完成预算</w:t>
      </w:r>
      <w:r>
        <w:rPr>
          <w:rStyle w:val="14"/>
          <w:rFonts w:hint="eastAsia" w:ascii="仿宋_GB2312" w:hAnsi="仿宋_GB2312" w:eastAsia="仿宋_GB2312" w:cs="仿宋_GB2312"/>
          <w:b w:val="0"/>
          <w:bCs/>
          <w:color w:val="000000"/>
          <w:sz w:val="32"/>
          <w:szCs w:val="32"/>
          <w:lang w:val="en-US" w:eastAsia="zh-CN"/>
        </w:rPr>
        <w:t>53.5</w:t>
      </w:r>
      <w:r>
        <w:rPr>
          <w:rStyle w:val="14"/>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公务接待费支出决算比2017年增加</w:t>
      </w:r>
      <w:r>
        <w:rPr>
          <w:rFonts w:hint="eastAsia" w:ascii="仿宋_GB2312" w:hAnsi="仿宋_GB2312" w:eastAsia="仿宋_GB2312" w:cs="仿宋_GB2312"/>
          <w:color w:val="000000"/>
          <w:sz w:val="32"/>
          <w:szCs w:val="32"/>
          <w:lang w:val="en-US" w:eastAsia="zh-CN"/>
        </w:rPr>
        <w:t>0.09</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8.5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主要原因认真贯彻落实中央八项规定，严格执行公务接待管理办法，全面压缩公务接待开支。</w:t>
      </w:r>
    </w:p>
    <w:p>
      <w:pPr>
        <w:numPr>
          <w:ilvl w:val="0"/>
          <w:numId w:val="0"/>
        </w:num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主要用于执行公务、开展业务活动开支的交通费、住宿费、用餐费等。国内公务接待</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批次，</w:t>
      </w:r>
      <w:r>
        <w:rPr>
          <w:rFonts w:hint="eastAsia" w:ascii="仿宋_GB2312" w:hAnsi="仿宋_GB2312" w:eastAsia="仿宋_GB2312" w:cs="仿宋_GB2312"/>
          <w:color w:val="000000"/>
          <w:sz w:val="32"/>
          <w:szCs w:val="32"/>
          <w:lang w:val="en-US" w:eastAsia="zh-CN"/>
        </w:rPr>
        <w:t>109</w:t>
      </w:r>
      <w:r>
        <w:rPr>
          <w:rFonts w:hint="eastAsia" w:ascii="仿宋_GB2312" w:hAnsi="仿宋_GB2312" w:eastAsia="仿宋_GB2312" w:cs="仿宋_GB2312"/>
          <w:color w:val="000000"/>
          <w:sz w:val="32"/>
          <w:szCs w:val="32"/>
        </w:rPr>
        <w:t>人次（不包括陪同人员），共计支出</w:t>
      </w:r>
      <w:r>
        <w:rPr>
          <w:rFonts w:hint="eastAsia" w:ascii="仿宋_GB2312" w:hAnsi="仿宋_GB2312" w:eastAsia="仿宋_GB2312" w:cs="仿宋_GB2312"/>
          <w:color w:val="000000"/>
          <w:sz w:val="32"/>
          <w:szCs w:val="32"/>
          <w:lang w:val="en-US" w:eastAsia="zh-CN"/>
        </w:rPr>
        <w:t>3.02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321" w:firstLineChars="1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sz w:val="32"/>
          <w:szCs w:val="32"/>
        </w:rPr>
        <w:t>外事接待支出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themeColor="text1"/>
          <w:sz w:val="32"/>
          <w:szCs w:val="32"/>
          <w14:textFill>
            <w14:solidFill>
              <w14:schemeClr w14:val="tx1"/>
            </w14:solidFill>
          </w14:textFill>
        </w:rPr>
        <w:t>，外事接待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人，共计支出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60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color w:val="000000"/>
          <w:sz w:val="32"/>
          <w:szCs w:val="32"/>
        </w:rPr>
        <w:t>其他国内公务接待支出</w:t>
      </w:r>
      <w:r>
        <w:rPr>
          <w:rFonts w:hint="eastAsia" w:ascii="仿宋_GB2312" w:hAnsi="仿宋_GB2312" w:eastAsia="仿宋_GB2312" w:cs="仿宋_GB2312"/>
          <w:b/>
          <w:color w:val="000000"/>
          <w:sz w:val="32"/>
          <w:szCs w:val="32"/>
          <w:lang w:val="en-US" w:eastAsia="zh-CN"/>
        </w:rPr>
        <w:t>0万元。</w:t>
      </w:r>
    </w:p>
    <w:p>
      <w:pPr>
        <w:spacing w:line="600" w:lineRule="exact"/>
        <w:ind w:firstLine="640"/>
        <w:outlineLvl w:val="1"/>
        <w:rPr>
          <w:rFonts w:hint="eastAsia" w:ascii="仿宋_GB2312" w:hAnsi="仿宋_GB2312" w:eastAsia="仿宋_GB2312" w:cs="仿宋_GB2312"/>
          <w:color w:val="000000"/>
          <w:sz w:val="32"/>
          <w:szCs w:val="32"/>
        </w:rPr>
      </w:pPr>
      <w:bookmarkStart w:id="46" w:name="_Toc15377218"/>
      <w:bookmarkStart w:id="47" w:name="_Toc15396610"/>
    </w:p>
    <w:p>
      <w:pPr>
        <w:spacing w:line="600" w:lineRule="exact"/>
        <w:ind w:firstLine="640"/>
        <w:outlineLvl w:val="1"/>
        <w:rPr>
          <w:rStyle w:val="25"/>
          <w:rFonts w:hint="eastAsia" w:ascii="仿宋_GB2312" w:hAnsi="仿宋_GB2312" w:eastAsia="仿宋_GB2312" w:cs="仿宋_GB2312"/>
        </w:rPr>
      </w:pPr>
      <w:r>
        <w:rPr>
          <w:rFonts w:hint="eastAsia" w:ascii="仿宋_GB2312" w:hAnsi="仿宋_GB2312" w:eastAsia="仿宋_GB2312" w:cs="仿宋_GB2312"/>
          <w:color w:val="000000"/>
          <w:sz w:val="32"/>
          <w:szCs w:val="32"/>
        </w:rPr>
        <w:t>八、</w:t>
      </w:r>
      <w:r>
        <w:rPr>
          <w:rStyle w:val="25"/>
          <w:rFonts w:hint="eastAsia" w:ascii="仿宋_GB2312" w:hAnsi="仿宋_GB2312" w:eastAsia="仿宋_GB2312" w:cs="仿宋_GB2312"/>
          <w:b w:val="0"/>
        </w:rPr>
        <w:t>政府性基金预算支出决算情况说明</w:t>
      </w:r>
      <w:bookmarkEnd w:id="46"/>
      <w:bookmarkEnd w:id="47"/>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2018年政府性基金预算拨款支出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spacing w:line="600" w:lineRule="exact"/>
        <w:ind w:firstLine="640"/>
        <w:rPr>
          <w:rFonts w:hint="eastAsia" w:ascii="仿宋_GB2312" w:hAnsi="仿宋_GB2312" w:eastAsia="仿宋_GB2312" w:cs="仿宋_GB2312"/>
          <w:color w:val="000000"/>
          <w:sz w:val="32"/>
          <w:szCs w:val="32"/>
        </w:rPr>
      </w:pPr>
    </w:p>
    <w:p>
      <w:pPr>
        <w:numPr>
          <w:ilvl w:val="0"/>
          <w:numId w:val="4"/>
        </w:numPr>
        <w:spacing w:line="600" w:lineRule="exact"/>
        <w:ind w:firstLine="640"/>
        <w:outlineLvl w:val="1"/>
        <w:rPr>
          <w:rStyle w:val="25"/>
          <w:rFonts w:hint="eastAsia" w:ascii="仿宋_GB2312" w:hAnsi="仿宋_GB2312" w:eastAsia="仿宋_GB2312" w:cs="仿宋_GB2312"/>
          <w:b w:val="0"/>
        </w:rPr>
      </w:pPr>
      <w:bookmarkStart w:id="48" w:name="_Toc15377219"/>
      <w:bookmarkStart w:id="49" w:name="_Toc15396611"/>
      <w:r>
        <w:rPr>
          <w:rStyle w:val="25"/>
          <w:rFonts w:hint="eastAsia" w:ascii="仿宋_GB2312" w:hAnsi="仿宋_GB2312" w:eastAsia="仿宋_GB2312" w:cs="仿宋_GB2312"/>
          <w:b w:val="0"/>
        </w:rPr>
        <w:t>国有资本经营预算支出决算情况说明</w:t>
      </w:r>
      <w:bookmarkEnd w:id="48"/>
      <w:bookmarkEnd w:id="49"/>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2018年国有资本经营预算拨款支出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pStyle w:val="23"/>
        <w:numPr>
          <w:ilvl w:val="0"/>
          <w:numId w:val="5"/>
        </w:numPr>
        <w:spacing w:line="580" w:lineRule="exact"/>
        <w:ind w:firstLineChars="0"/>
        <w:rPr>
          <w:rStyle w:val="25"/>
          <w:rFonts w:hint="eastAsia" w:ascii="仿宋_GB2312" w:hAnsi="仿宋_GB2312" w:eastAsia="仿宋_GB2312" w:cs="仿宋_GB2312"/>
          <w:b w:val="0"/>
        </w:rPr>
      </w:pPr>
      <w:r>
        <w:rPr>
          <w:rStyle w:val="25"/>
          <w:rFonts w:hint="eastAsia" w:ascii="仿宋_GB2312" w:hAnsi="仿宋_GB2312" w:eastAsia="仿宋_GB2312" w:cs="仿宋_GB2312"/>
          <w:b w:val="0"/>
        </w:rPr>
        <w:t>预算绩效情况说明</w:t>
      </w:r>
    </w:p>
    <w:p>
      <w:pPr>
        <w:numPr>
          <w:ilvl w:val="0"/>
          <w:numId w:val="6"/>
        </w:num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预算绩效管理工作开展情况。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个项目开展了绩效目标完成情况梳理填报。</w:t>
      </w:r>
    </w:p>
    <w:p>
      <w:pPr>
        <w:spacing w:line="540" w:lineRule="exact"/>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rPr>
        <w:t>按要求对2018年部门整体支出开展绩效自评，从评价情况来看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我站基本支出是用于保障机关机构正常运转的日常支出，工资、津贴补贴等人员经费以及办公费、印刷费、水电费、办公费等日常公用经费；秉着节能降耗、廉洁行政的原则进行开支。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我站通过项目资金支出</w:t>
      </w:r>
      <w:r>
        <w:rPr>
          <w:rFonts w:hint="eastAsia" w:ascii="仿宋_GB2312" w:hAnsi="仿宋_GB2312" w:eastAsia="仿宋_GB2312" w:cs="仿宋_GB2312"/>
          <w:sz w:val="32"/>
          <w:szCs w:val="32"/>
          <w:lang w:val="en-US" w:eastAsia="zh-CN"/>
        </w:rPr>
        <w:t>244.91</w:t>
      </w:r>
      <w:r>
        <w:rPr>
          <w:rFonts w:hint="eastAsia" w:ascii="仿宋_GB2312" w:hAnsi="仿宋_GB2312" w:eastAsia="仿宋_GB2312" w:cs="仿宋_GB2312"/>
          <w:sz w:val="32"/>
          <w:szCs w:val="32"/>
        </w:rPr>
        <w:t>万元，其中：上年项目资金结转今年支出</w:t>
      </w:r>
      <w:r>
        <w:rPr>
          <w:rFonts w:hint="eastAsia" w:ascii="仿宋_GB2312" w:hAnsi="仿宋_GB2312" w:eastAsia="仿宋_GB2312" w:cs="仿宋_GB2312"/>
          <w:sz w:val="32"/>
          <w:szCs w:val="32"/>
          <w:lang w:val="en-US" w:eastAsia="zh-CN"/>
        </w:rPr>
        <w:t>56.41</w:t>
      </w:r>
      <w:r>
        <w:rPr>
          <w:rFonts w:hint="eastAsia" w:ascii="仿宋_GB2312" w:hAnsi="仿宋_GB2312" w:eastAsia="仿宋_GB2312" w:cs="仿宋_GB2312"/>
          <w:sz w:val="32"/>
          <w:szCs w:val="32"/>
        </w:rPr>
        <w:t>万元，用于燕儿河水库右干渠工程建设、</w:t>
      </w:r>
      <w:r>
        <w:rPr>
          <w:rFonts w:hint="eastAsia" w:ascii="仿宋_GB2312" w:hAnsi="仿宋_GB2312" w:eastAsia="仿宋_GB2312" w:cs="仿宋_GB2312"/>
          <w:sz w:val="32"/>
          <w:szCs w:val="32"/>
          <w:lang w:eastAsia="zh-CN"/>
        </w:rPr>
        <w:t>左干渠工程，</w:t>
      </w:r>
      <w:r>
        <w:rPr>
          <w:rFonts w:hint="eastAsia" w:ascii="仿宋_GB2312" w:hAnsi="仿宋_GB2312" w:eastAsia="仿宋_GB2312" w:cs="仿宋_GB2312"/>
          <w:sz w:val="32"/>
          <w:szCs w:val="32"/>
        </w:rPr>
        <w:t>灾后重建管理房项目的支出及水库建设。</w:t>
      </w:r>
    </w:p>
    <w:p>
      <w:pPr>
        <w:widowControl/>
        <w:numPr>
          <w:ilvl w:val="0"/>
          <w:numId w:val="7"/>
        </w:numPr>
        <w:adjustRightInd w:val="0"/>
        <w:snapToGrid w:val="0"/>
        <w:spacing w:line="700" w:lineRule="exact"/>
        <w:ind w:firstLine="640" w:firstLineChars="200"/>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机关厉行节约。按照中央“八项”规定和《党政机关厉行节约反对浪费条例》等各项规定，严格控制“三公”经费支出，大力压缩一般性支出。2018年公务接待费支出</w:t>
      </w:r>
      <w:r>
        <w:rPr>
          <w:rFonts w:hint="eastAsia" w:ascii="仿宋_GB2312" w:hAnsi="仿宋_GB2312" w:eastAsia="仿宋_GB2312" w:cs="仿宋_GB2312"/>
          <w:kern w:val="0"/>
          <w:sz w:val="32"/>
          <w:szCs w:val="32"/>
          <w:shd w:val="clear" w:color="auto" w:fill="FFFFFF"/>
          <w:lang w:val="en-US" w:eastAsia="zh-CN"/>
        </w:rPr>
        <w:t>1.07</w:t>
      </w:r>
      <w:r>
        <w:rPr>
          <w:rFonts w:hint="eastAsia" w:ascii="仿宋_GB2312" w:hAnsi="仿宋_GB2312" w:eastAsia="仿宋_GB2312" w:cs="仿宋_GB2312"/>
          <w:kern w:val="0"/>
          <w:sz w:val="32"/>
          <w:szCs w:val="32"/>
          <w:shd w:val="clear" w:color="auto" w:fill="FFFFFF"/>
          <w:lang w:val="zh-CN"/>
        </w:rPr>
        <w:t>万元，比2017年预算数增加0.</w:t>
      </w: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lang w:val="zh-CN"/>
        </w:rPr>
        <w:t>万元上升20%；公务用车购置及运行维护费支出</w:t>
      </w:r>
      <w:r>
        <w:rPr>
          <w:rFonts w:hint="eastAsia" w:ascii="仿宋_GB2312" w:hAnsi="仿宋_GB2312" w:eastAsia="仿宋_GB2312" w:cs="仿宋_GB2312"/>
          <w:kern w:val="0"/>
          <w:sz w:val="32"/>
          <w:szCs w:val="32"/>
          <w:shd w:val="clear" w:color="auto" w:fill="FFFFFF"/>
          <w:lang w:val="en-US" w:eastAsia="zh-CN"/>
        </w:rPr>
        <w:t>3.02万元，</w:t>
      </w:r>
      <w:r>
        <w:rPr>
          <w:rFonts w:hint="eastAsia" w:ascii="仿宋_GB2312" w:hAnsi="仿宋_GB2312" w:eastAsia="仿宋_GB2312" w:cs="仿宋_GB2312"/>
          <w:kern w:val="0"/>
          <w:sz w:val="32"/>
          <w:szCs w:val="32"/>
          <w:shd w:val="clear" w:color="auto" w:fill="FFFFFF"/>
          <w:lang w:val="zh-CN"/>
        </w:rPr>
        <w:t>2018年会议费及因公出国出境无支出。</w:t>
      </w:r>
    </w:p>
    <w:p>
      <w:pPr>
        <w:numPr>
          <w:ilvl w:val="0"/>
          <w:numId w:val="6"/>
        </w:num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项目绩效目标完成情况。</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sz w:val="32"/>
          <w:szCs w:val="32"/>
        </w:rPr>
        <w:t xml:space="preserve">    本部门在2018年度部门决算中反映“水库维修、维护及运行费””污水处理及检测报告编制及水情自动监测”“水土保持设施验收技术评估和监测”等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个项目绩效目标实际完成情况。</w:t>
      </w:r>
    </w:p>
    <w:p>
      <w:pPr>
        <w:numPr>
          <w:ilvl w:val="0"/>
          <w:numId w:val="8"/>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水土保持设施验收技术评估和监测项目绩效目标完成情况综述。项目全年预算数</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完成了水库工程</w:t>
      </w:r>
      <w:r>
        <w:rPr>
          <w:rFonts w:hint="eastAsia" w:ascii="仿宋_GB2312" w:hAnsi="仿宋_GB2312" w:eastAsia="仿宋_GB2312" w:cs="仿宋_GB2312"/>
          <w:sz w:val="32"/>
          <w:szCs w:val="32"/>
        </w:rPr>
        <w:t>水土保持设施</w:t>
      </w:r>
      <w:r>
        <w:rPr>
          <w:rFonts w:hint="eastAsia" w:ascii="仿宋_GB2312" w:hAnsi="仿宋_GB2312" w:eastAsia="仿宋_GB2312" w:cs="仿宋_GB2312"/>
          <w:sz w:val="32"/>
          <w:szCs w:val="32"/>
          <w:lang w:eastAsia="zh-CN"/>
        </w:rPr>
        <w:t>单项</w:t>
      </w:r>
      <w:r>
        <w:rPr>
          <w:rFonts w:hint="eastAsia" w:ascii="仿宋_GB2312" w:hAnsi="仿宋_GB2312" w:eastAsia="仿宋_GB2312" w:cs="仿宋_GB2312"/>
          <w:sz w:val="32"/>
          <w:szCs w:val="32"/>
        </w:rPr>
        <w:t>验收</w:t>
      </w:r>
      <w:r>
        <w:rPr>
          <w:rFonts w:hint="eastAsia" w:ascii="仿宋_GB2312" w:hAnsi="仿宋_GB2312" w:eastAsia="仿宋_GB2312" w:cs="仿宋_GB2312"/>
          <w:sz w:val="32"/>
          <w:szCs w:val="32"/>
          <w:lang w:eastAsia="zh-CN"/>
        </w:rPr>
        <w:t>，为水库工程竣工验收合格，提高保障。</w:t>
      </w:r>
    </w:p>
    <w:p>
      <w:pPr>
        <w:widowControl w:val="0"/>
        <w:numPr>
          <w:ilvl w:val="0"/>
          <w:numId w:val="8"/>
        </w:numPr>
        <w:spacing w:line="580" w:lineRule="exact"/>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水库维修、维护及运行费项目绩效目标完成情况综述。项目全年预算数</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72.6</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水库管理及日常工作的正常运转。</w:t>
      </w:r>
    </w:p>
    <w:p>
      <w:pPr>
        <w:widowControl w:val="0"/>
        <w:numPr>
          <w:ilvl w:val="0"/>
          <w:numId w:val="8"/>
        </w:numPr>
        <w:spacing w:line="580" w:lineRule="exact"/>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污水处理及检测报告编制及水情自动监测项目绩效目标完成情况综述。项目全年预算数</w:t>
      </w:r>
      <w:r>
        <w:rPr>
          <w:rFonts w:hint="eastAsia" w:ascii="仿宋_GB2312" w:hAnsi="仿宋_GB2312" w:eastAsia="仿宋_GB2312" w:cs="仿宋_GB2312"/>
          <w:sz w:val="32"/>
          <w:szCs w:val="32"/>
          <w:lang w:val="en-US" w:eastAsia="zh-CN"/>
        </w:rPr>
        <w:t>134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85.8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64.03</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认真落实市委市政府指示，</w:t>
      </w:r>
      <w:r>
        <w:rPr>
          <w:rFonts w:hint="eastAsia" w:ascii="仿宋_GB2312" w:hAnsi="仿宋_GB2312" w:eastAsia="仿宋_GB2312" w:cs="仿宋_GB2312"/>
          <w:sz w:val="32"/>
          <w:szCs w:val="32"/>
        </w:rPr>
        <w:t>防汛抗旱指挥部关于建设大中型水库和省市管河道上的水电站及景观闸坝工程水情测报系统</w:t>
      </w:r>
      <w:r>
        <w:rPr>
          <w:rFonts w:hint="eastAsia" w:ascii="仿宋_GB2312" w:hAnsi="仿宋_GB2312" w:eastAsia="仿宋_GB2312" w:cs="仿宋_GB2312"/>
          <w:sz w:val="32"/>
          <w:szCs w:val="32"/>
          <w:lang w:eastAsia="zh-CN"/>
        </w:rPr>
        <w:t>。</w:t>
      </w:r>
    </w:p>
    <w:p>
      <w:pPr>
        <w:spacing w:line="580" w:lineRule="exact"/>
        <w:rPr>
          <w:rFonts w:hint="eastAsia" w:ascii="仿宋_GB2312" w:hAnsi="仿宋_GB2312" w:eastAsia="仿宋_GB2312" w:cs="仿宋_GB2312"/>
          <w:sz w:val="32"/>
          <w:szCs w:val="32"/>
        </w:rPr>
      </w:pPr>
    </w:p>
    <w:p>
      <w:pPr>
        <w:numPr>
          <w:ilvl w:val="0"/>
          <w:numId w:val="6"/>
        </w:num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部门开展绩效评价结果。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燕管站</w:t>
      </w:r>
      <w:r>
        <w:rPr>
          <w:rFonts w:hint="eastAsia" w:ascii="仿宋_GB2312" w:hAnsi="仿宋_GB2312" w:eastAsia="仿宋_GB2312" w:cs="仿宋_GB2312"/>
          <w:sz w:val="32"/>
          <w:szCs w:val="32"/>
        </w:rPr>
        <w:t>部门2018年部门整体支出绩效评价报告》见附件。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燕管站</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燕管站</w:t>
      </w:r>
      <w:r>
        <w:rPr>
          <w:rFonts w:hint="eastAsia" w:ascii="仿宋_GB2312" w:hAnsi="仿宋_GB2312" w:eastAsia="仿宋_GB2312" w:cs="仿宋_GB2312"/>
          <w:sz w:val="32"/>
          <w:szCs w:val="32"/>
        </w:rPr>
        <w:t>项目2018年绩效评价报告》见附件。我站201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年始终坚持按质按量执行部门支出，制定了各项管理制度，严格按照计划及审批手续齐全后再进行支付，综上所述，我站201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年部门预算也按照要求执行，</w:t>
      </w:r>
      <w:r>
        <w:rPr>
          <w:rFonts w:hint="eastAsia" w:ascii="仿宋_GB2312" w:hAnsi="仿宋_GB2312" w:eastAsia="仿宋_GB2312" w:cs="仿宋_GB2312"/>
          <w:kern w:val="0"/>
          <w:sz w:val="32"/>
          <w:szCs w:val="32"/>
          <w:shd w:val="clear" w:color="auto" w:fill="FFFFFF"/>
          <w:lang w:val="zh-CN"/>
        </w:rPr>
        <w:t>严格控制各项经费的开支，切实提高预算经费的使用效率；</w:t>
      </w:r>
      <w:r>
        <w:rPr>
          <w:rFonts w:hint="eastAsia" w:ascii="仿宋_GB2312" w:hAnsi="仿宋_GB2312" w:eastAsia="仿宋_GB2312" w:cs="仿宋_GB2312"/>
          <w:sz w:val="32"/>
          <w:szCs w:val="32"/>
        </w:rPr>
        <w:t>确保了资金的安全性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shd w:val="clear" w:color="auto" w:fill="FFFFFF"/>
          <w:lang w:val="zh-CN"/>
        </w:rPr>
        <w:t>自评结果：良好。</w:t>
      </w:r>
    </w:p>
    <w:p>
      <w:pPr>
        <w:spacing w:line="580" w:lineRule="exact"/>
        <w:jc w:val="center"/>
        <w:rPr>
          <w:rFonts w:hint="eastAsia" w:ascii="仿宋_GB2312" w:hAnsi="仿宋_GB2312" w:eastAsia="仿宋_GB2312" w:cs="仿宋_GB2312"/>
          <w:sz w:val="44"/>
          <w:szCs w:val="44"/>
        </w:rPr>
      </w:pPr>
    </w:p>
    <w:p>
      <w:pPr>
        <w:spacing w:line="600" w:lineRule="exact"/>
        <w:ind w:firstLine="800" w:firstLineChars="250"/>
        <w:outlineLvl w:val="1"/>
        <w:rPr>
          <w:rStyle w:val="25"/>
          <w:rFonts w:hint="eastAsia" w:ascii="仿宋_GB2312" w:hAnsi="仿宋_GB2312" w:eastAsia="仿宋_GB2312" w:cs="仿宋_GB2312"/>
        </w:rPr>
      </w:pPr>
      <w:bookmarkStart w:id="50" w:name="_Toc15396612"/>
      <w:bookmarkStart w:id="51" w:name="_Toc15377221"/>
      <w:r>
        <w:rPr>
          <w:rFonts w:hint="eastAsia" w:ascii="仿宋_GB2312" w:hAnsi="仿宋_GB2312" w:eastAsia="仿宋_GB2312" w:cs="仿宋_GB2312"/>
          <w:color w:val="000000"/>
          <w:sz w:val="32"/>
          <w:szCs w:val="32"/>
        </w:rPr>
        <w:t>十</w:t>
      </w:r>
      <w:r>
        <w:rPr>
          <w:rStyle w:val="25"/>
          <w:rFonts w:hint="eastAsia" w:ascii="仿宋_GB2312" w:hAnsi="仿宋_GB2312" w:eastAsia="仿宋_GB2312" w:cs="仿宋_GB2312"/>
        </w:rPr>
        <w:t>一、</w:t>
      </w:r>
      <w:r>
        <w:rPr>
          <w:rStyle w:val="25"/>
          <w:rFonts w:hint="eastAsia" w:ascii="仿宋_GB2312" w:hAnsi="仿宋_GB2312" w:eastAsia="仿宋_GB2312" w:cs="仿宋_GB2312"/>
          <w:b w:val="0"/>
        </w:rPr>
        <w:t>其他重要事项的情况说明</w:t>
      </w:r>
      <w:bookmarkEnd w:id="50"/>
      <w:bookmarkEnd w:id="51"/>
    </w:p>
    <w:p>
      <w:pPr>
        <w:spacing w:line="600" w:lineRule="exact"/>
        <w:ind w:firstLine="643" w:firstLineChars="200"/>
        <w:outlineLvl w:val="2"/>
        <w:rPr>
          <w:rFonts w:hint="eastAsia" w:ascii="仿宋_GB2312" w:hAnsi="仿宋_GB2312" w:eastAsia="仿宋_GB2312" w:cs="仿宋_GB2312"/>
          <w:color w:val="000000"/>
          <w:sz w:val="32"/>
          <w:szCs w:val="32"/>
        </w:rPr>
      </w:pPr>
      <w:bookmarkStart w:id="52" w:name="_Toc15377222"/>
      <w:r>
        <w:rPr>
          <w:rFonts w:hint="eastAsia" w:ascii="仿宋_GB2312" w:hAnsi="仿宋_GB2312" w:eastAsia="仿宋_GB2312" w:cs="仿宋_GB2312"/>
          <w:b/>
          <w:color w:val="000000"/>
          <w:sz w:val="32"/>
          <w:szCs w:val="32"/>
        </w:rPr>
        <w:t>（一）机关运行经费支出情况</w:t>
      </w:r>
      <w:bookmarkEnd w:id="52"/>
    </w:p>
    <w:p>
      <w:pPr>
        <w:spacing w:line="60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sz w:val="32"/>
          <w:szCs w:val="32"/>
        </w:rPr>
        <w:t>2018年，</w:t>
      </w:r>
      <w:r>
        <w:rPr>
          <w:rFonts w:hint="eastAsia" w:ascii="仿宋_GB2312" w:hAnsi="仿宋_GB2312" w:eastAsia="仿宋_GB2312" w:cs="仿宋_GB2312"/>
          <w:color w:val="000000"/>
          <w:sz w:val="32"/>
          <w:szCs w:val="32"/>
          <w:lang w:eastAsia="zh-CN"/>
        </w:rPr>
        <w:t>燕管站</w:t>
      </w:r>
      <w:r>
        <w:rPr>
          <w:rFonts w:hint="eastAsia" w:ascii="仿宋_GB2312" w:hAnsi="仿宋_GB2312" w:eastAsia="仿宋_GB2312" w:cs="仿宋_GB2312"/>
          <w:color w:val="000000"/>
          <w:sz w:val="32"/>
          <w:szCs w:val="32"/>
        </w:rPr>
        <w:t>机关运行经费支出</w:t>
      </w:r>
      <w:r>
        <w:rPr>
          <w:rFonts w:hint="eastAsia" w:ascii="仿宋_GB2312" w:hAnsi="仿宋_GB2312" w:eastAsia="仿宋_GB2312" w:cs="仿宋_GB2312"/>
          <w:color w:val="000000"/>
          <w:sz w:val="32"/>
          <w:szCs w:val="32"/>
          <w:lang w:val="en-US" w:eastAsia="zh-CN"/>
        </w:rPr>
        <w:t>4.09</w:t>
      </w:r>
      <w:r>
        <w:rPr>
          <w:rFonts w:hint="eastAsia" w:ascii="仿宋_GB2312" w:hAnsi="仿宋_GB2312" w:eastAsia="仿宋_GB2312" w:cs="仿宋_GB2312"/>
          <w:color w:val="000000"/>
          <w:sz w:val="32"/>
          <w:szCs w:val="32"/>
        </w:rPr>
        <w:t>万元，比2017减少</w:t>
      </w:r>
      <w:r>
        <w:rPr>
          <w:rFonts w:hint="eastAsia" w:ascii="仿宋_GB2312" w:hAnsi="仿宋_GB2312" w:eastAsia="仿宋_GB2312" w:cs="仿宋_GB2312"/>
          <w:color w:val="000000"/>
          <w:sz w:val="32"/>
          <w:szCs w:val="32"/>
          <w:lang w:val="en-US" w:eastAsia="zh-CN"/>
        </w:rPr>
        <w:t>6.1</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24.91</w:t>
      </w:r>
      <w:r>
        <w:rPr>
          <w:rFonts w:hint="eastAsia" w:ascii="仿宋_GB2312" w:hAnsi="仿宋_GB2312" w:eastAsia="仿宋_GB2312" w:cs="仿宋_GB2312"/>
          <w:color w:val="000000"/>
          <w:sz w:val="32"/>
          <w:szCs w:val="32"/>
        </w:rPr>
        <w:t>%（或与2017年决算数持平）。</w:t>
      </w:r>
      <w:r>
        <w:rPr>
          <w:rFonts w:hint="eastAsia" w:ascii="仿宋_GB2312" w:hAnsi="仿宋_GB2312" w:eastAsia="仿宋_GB2312" w:cs="仿宋_GB2312"/>
          <w:color w:val="000000" w:themeColor="text1"/>
          <w:sz w:val="32"/>
          <w:szCs w:val="32"/>
          <w14:textFill>
            <w14:solidFill>
              <w14:schemeClr w14:val="tx1"/>
            </w14:solidFill>
          </w14:textFill>
        </w:rPr>
        <w:t>主要原因是</w:t>
      </w:r>
      <w:r>
        <w:rPr>
          <w:rFonts w:hint="eastAsia" w:ascii="仿宋_GB2312" w:hAnsi="仿宋_GB2312" w:eastAsia="仿宋_GB2312" w:cs="仿宋_GB2312"/>
          <w:color w:val="333333"/>
          <w:sz w:val="32"/>
          <w:szCs w:val="32"/>
        </w:rPr>
        <w:t>认真贯彻党中央八项规定</w:t>
      </w:r>
      <w:r>
        <w:rPr>
          <w:rFonts w:hint="eastAsia" w:ascii="仿宋_GB2312" w:hAnsi="仿宋_GB2312" w:eastAsia="仿宋_GB2312" w:cs="仿宋_GB2312"/>
          <w:color w:val="333333"/>
          <w:sz w:val="32"/>
          <w:szCs w:val="32"/>
          <w:lang w:eastAsia="zh-CN"/>
        </w:rPr>
        <w:t>。</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000000"/>
          <w:sz w:val="32"/>
          <w:szCs w:val="32"/>
        </w:rPr>
      </w:pPr>
      <w:bookmarkStart w:id="53" w:name="_Toc15377223"/>
      <w:r>
        <w:rPr>
          <w:rFonts w:hint="eastAsia" w:ascii="仿宋_GB2312" w:hAnsi="仿宋_GB2312" w:eastAsia="仿宋_GB2312" w:cs="仿宋_GB2312"/>
          <w:b/>
          <w:color w:val="000000"/>
          <w:sz w:val="32"/>
          <w:szCs w:val="32"/>
        </w:rPr>
        <w:t>（二）政府采购支出情况</w:t>
      </w:r>
      <w:bookmarkEnd w:id="53"/>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w:t>
      </w:r>
      <w:r>
        <w:rPr>
          <w:rFonts w:hint="eastAsia" w:ascii="仿宋_GB2312" w:hAnsi="仿宋_GB2312" w:eastAsia="仿宋_GB2312" w:cs="仿宋_GB2312"/>
          <w:color w:val="000000"/>
          <w:sz w:val="32"/>
          <w:szCs w:val="32"/>
          <w:lang w:eastAsia="zh-CN"/>
        </w:rPr>
        <w:t>燕管站</w:t>
      </w:r>
      <w:r>
        <w:rPr>
          <w:rFonts w:hint="eastAsia" w:ascii="仿宋_GB2312" w:hAnsi="仿宋_GB2312" w:eastAsia="仿宋_GB2312" w:cs="仿宋_GB2312"/>
          <w:color w:val="000000"/>
          <w:sz w:val="32"/>
          <w:szCs w:val="32"/>
        </w:rPr>
        <w:t>政府采购支出总额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万元，其中：政府采购货物支出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万元、政府采购工程支</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万元、政府采购服务支出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万元。授予中小企业合同金额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万元，占政府采购支出总额的</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%，其中：授予小微企业合同金额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万元，占政府采购支出总额的</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000000"/>
          <w:sz w:val="32"/>
          <w:szCs w:val="32"/>
        </w:rPr>
      </w:pPr>
      <w:bookmarkStart w:id="54" w:name="_Toc15377224"/>
      <w:r>
        <w:rPr>
          <w:rFonts w:hint="eastAsia" w:ascii="仿宋_GB2312" w:hAnsi="仿宋_GB2312" w:eastAsia="仿宋_GB2312" w:cs="仿宋_GB2312"/>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截至2018年12月31日，</w:t>
      </w:r>
      <w:r>
        <w:rPr>
          <w:rFonts w:hint="eastAsia" w:ascii="仿宋_GB2312" w:hAnsi="仿宋_GB2312" w:eastAsia="仿宋_GB2312" w:cs="仿宋_GB2312"/>
          <w:color w:val="000000"/>
          <w:sz w:val="32"/>
          <w:szCs w:val="32"/>
          <w:lang w:eastAsia="zh-CN"/>
        </w:rPr>
        <w:t>燕管站</w:t>
      </w:r>
      <w:r>
        <w:rPr>
          <w:rFonts w:hint="eastAsia" w:ascii="仿宋_GB2312" w:hAnsi="仿宋_GB2312" w:eastAsia="仿宋_GB2312" w:cs="仿宋_GB2312"/>
          <w:color w:val="000000"/>
          <w:sz w:val="32"/>
          <w:szCs w:val="32"/>
        </w:rPr>
        <w:t>共有车辆</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辆，其中：部级领导干部用车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辆、一般公务用车</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辆、一般执法执勤用车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辆、特种专业技术用车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辆、其他用车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w:t>
      </w:r>
      <w:r>
        <w:rPr>
          <w:rFonts w:hint="eastAsia" w:ascii="仿宋_GB2312" w:hAnsi="仿宋_GB2312" w:eastAsia="仿宋_GB2312" w:cs="仿宋_GB2312"/>
          <w:color w:val="000000" w:themeColor="text1"/>
          <w:sz w:val="32"/>
          <w:szCs w:val="32"/>
          <w14:textFill>
            <w14:solidFill>
              <w14:schemeClr w14:val="tx1"/>
            </w14:solidFill>
          </w14:textFill>
        </w:rPr>
        <w:t>其他用车主要是用于……单价50万元以上通用设备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台（套），单价100</w:t>
      </w:r>
      <w:r>
        <w:rPr>
          <w:rFonts w:hint="eastAsia" w:ascii="仿宋_GB2312" w:hAnsi="仿宋_GB2312" w:eastAsia="仿宋_GB2312" w:cs="仿宋_GB2312"/>
          <w:color w:val="000000"/>
          <w:sz w:val="32"/>
          <w:szCs w:val="32"/>
        </w:rPr>
        <w:t>万元以上专用设备</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台（套）。</w:t>
      </w:r>
    </w:p>
    <w:p>
      <w:pPr>
        <w:numPr>
          <w:ilvl w:val="0"/>
          <w:numId w:val="9"/>
        </w:numPr>
        <w:spacing w:line="600" w:lineRule="exact"/>
        <w:ind w:firstLine="663"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w:t>
      </w:r>
      <w:r>
        <w:rPr>
          <w:rFonts w:hint="eastAsia" w:ascii="仿宋_GB2312" w:eastAsia="仿宋_GB2312"/>
          <w:sz w:val="32"/>
          <w:szCs w:val="32"/>
          <w:lang w:eastAsia="zh-CN"/>
        </w:rPr>
        <w:t>指区级</w:t>
      </w:r>
      <w:r>
        <w:rPr>
          <w:rFonts w:hint="eastAsia" w:ascii="仿宋_GB2312" w:eastAsia="仿宋_GB2312"/>
          <w:sz w:val="32"/>
          <w:szCs w:val="32"/>
        </w:rPr>
        <w:t>财政</w:t>
      </w:r>
      <w:r>
        <w:rPr>
          <w:rFonts w:hint="eastAsia" w:ascii="仿宋_GB2312" w:eastAsia="仿宋_GB2312"/>
          <w:sz w:val="32"/>
          <w:szCs w:val="32"/>
          <w:lang w:eastAsia="zh-CN"/>
        </w:rPr>
        <w:t>当年拨付</w:t>
      </w:r>
      <w:r>
        <w:rPr>
          <w:rFonts w:hint="eastAsia" w:ascii="仿宋_GB2312" w:eastAsia="仿宋_GB2312"/>
          <w:sz w:val="32"/>
          <w:szCs w:val="32"/>
        </w:rPr>
        <w:t>资金。</w:t>
      </w:r>
    </w:p>
    <w:p>
      <w:pPr>
        <w:pStyle w:val="22"/>
        <w:spacing w:line="560" w:lineRule="exact"/>
        <w:ind w:firstLine="640" w:firstLineChars="200"/>
        <w:rPr>
          <w:rFonts w:hint="eastAsia" w:ascii="仿宋_GB2312" w:eastAsia="仿宋_GB2312"/>
          <w:sz w:val="32"/>
          <w:szCs w:val="32"/>
          <w:lang w:eastAsia="zh-CN"/>
        </w:rPr>
      </w:pPr>
      <w:r>
        <w:rPr>
          <w:rFonts w:ascii="仿宋_GB2312" w:eastAsia="仿宋_GB2312"/>
          <w:sz w:val="32"/>
          <w:szCs w:val="32"/>
        </w:rPr>
        <w:t>2.</w:t>
      </w:r>
      <w:r>
        <w:rPr>
          <w:rFonts w:hint="eastAsia" w:ascii="仿宋_GB2312" w:eastAsia="仿宋_GB2312"/>
          <w:sz w:val="32"/>
          <w:szCs w:val="32"/>
        </w:rPr>
        <w:t>其他收入：</w:t>
      </w:r>
      <w:r>
        <w:rPr>
          <w:rFonts w:hint="eastAsia" w:ascii="仿宋_GB2312" w:eastAsia="仿宋_GB2312"/>
          <w:sz w:val="32"/>
          <w:szCs w:val="32"/>
          <w:lang w:eastAsia="zh-CN"/>
        </w:rPr>
        <w:t>存款利息收入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w:t>
      </w:r>
      <w:r>
        <w:rPr>
          <w:rFonts w:hint="eastAsia" w:ascii="仿宋_GB2312" w:eastAsia="仿宋_GB2312"/>
          <w:color w:val="000000"/>
          <w:sz w:val="32"/>
          <w:szCs w:val="32"/>
          <w:lang w:eastAsia="zh-CN"/>
        </w:rPr>
        <w:t>农林水</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水利</w:t>
      </w:r>
      <w:r>
        <w:rPr>
          <w:rFonts w:hint="eastAsia" w:ascii="仿宋_GB2312" w:eastAsia="仿宋_GB2312"/>
          <w:color w:val="000000"/>
          <w:sz w:val="32"/>
          <w:szCs w:val="32"/>
        </w:rPr>
        <w:t>（项）：</w:t>
      </w:r>
      <w:r>
        <w:rPr>
          <w:rFonts w:hint="eastAsia" w:ascii="仿宋_GB2312" w:eastAsia="仿宋_GB2312"/>
          <w:color w:val="000000"/>
          <w:sz w:val="32"/>
          <w:szCs w:val="32"/>
          <w:lang w:eastAsia="zh-CN"/>
        </w:rPr>
        <w:t>反映政府用于水利方面支出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行政事业单位的基本支出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lang w:eastAsia="zh-CN"/>
        </w:rPr>
        <w:t>一般行政管理事务</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行政事业单位，未单独设置项级科目的其他项目支出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lang w:eastAsia="zh-CN"/>
        </w:rPr>
        <w:t>水土保持（</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水利系统纳入预算管理的水土保持事业单位的支出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13.</w:t>
      </w:r>
      <w:r>
        <w:rPr>
          <w:rFonts w:hint="eastAsia" w:ascii="仿宋_GB2312" w:eastAsia="仿宋_GB2312"/>
          <w:color w:val="000000"/>
          <w:sz w:val="32"/>
          <w:szCs w:val="32"/>
          <w:lang w:eastAsia="zh-CN"/>
        </w:rPr>
        <w:t>防汛</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防汛通讯设备设施，网络系统、防洪值班、水情报讯、防洪指挥、山洪灾害防治等。</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lang w:eastAsia="zh-CN"/>
        </w:rPr>
        <w:t>住房公积金</w:t>
      </w:r>
      <w:r>
        <w:rPr>
          <w:rFonts w:hint="eastAsia" w:ascii="仿宋_GB2312" w:eastAsia="仿宋_GB2312"/>
          <w:color w:val="000000"/>
          <w:sz w:val="32"/>
          <w:szCs w:val="32"/>
        </w:rPr>
        <w:t>（类）</w:t>
      </w:r>
      <w:r>
        <w:rPr>
          <w:rFonts w:hint="eastAsia" w:ascii="仿宋_GB2312" w:eastAsia="仿宋_GB2312"/>
          <w:color w:val="000000"/>
          <w:sz w:val="32"/>
          <w:szCs w:val="32"/>
          <w:lang w:eastAsia="zh-CN"/>
        </w:rPr>
        <w:t>住房改革支出</w:t>
      </w:r>
      <w:r>
        <w:rPr>
          <w:rFonts w:hint="eastAsia" w:ascii="仿宋_GB2312" w:eastAsia="仿宋_GB2312"/>
          <w:color w:val="000000"/>
          <w:sz w:val="32"/>
          <w:szCs w:val="32"/>
        </w:rPr>
        <w:t>（款）</w:t>
      </w:r>
      <w:r>
        <w:rPr>
          <w:rFonts w:hint="eastAsia" w:ascii="仿宋_GB2312" w:eastAsia="仿宋_GB2312"/>
          <w:color w:val="000000"/>
          <w:sz w:val="32"/>
          <w:szCs w:val="32"/>
          <w:lang w:eastAsia="zh-CN"/>
        </w:rPr>
        <w:t>反映行政事业单位财政拨款资金及其他资金安排的住房改革支出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机关事业单位基本养老保险金缴费支出</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机关事业单位基本养老保险金缴费支出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机关事业单位年金保险金缴费支出</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机关事业单位年金保险金缴费支出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医疗卫生与计划生育（类）</w:t>
      </w:r>
      <w:r>
        <w:rPr>
          <w:rFonts w:hint="eastAsia" w:ascii="仿宋_GB2312" w:eastAsia="仿宋_GB2312"/>
          <w:color w:val="000000"/>
          <w:sz w:val="32"/>
          <w:szCs w:val="32"/>
          <w:lang w:eastAsia="zh-CN"/>
        </w:rPr>
        <w:t>医疗保险</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事业单位基本医疗</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反映财政部门安排的使用单位基本医疗保险缴费经费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Style w:val="24"/>
          <w:rFonts w:ascii="黑体" w:hAnsi="黑体" w:eastAsia="黑体"/>
          <w:b w:val="0"/>
        </w:rPr>
      </w:pPr>
      <w:bookmarkStart w:id="57" w:name="_Toc15396614"/>
      <w:bookmarkStart w:id="58"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lang w:eastAsia="zh-CN"/>
        </w:rPr>
        <w:t>燕管站</w:t>
      </w:r>
      <w:r>
        <w:rPr>
          <w:rFonts w:hint="eastAsia" w:ascii="黑体" w:hAnsi="黑体" w:eastAsia="黑体" w:cs="方正小标宋简体"/>
          <w:sz w:val="36"/>
          <w:szCs w:val="36"/>
        </w:rPr>
        <w:t>部门2018年部门整体支出绩效评价报告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涪城区燕管站内设股室5个，分别为办公室、工程建设管理股、财务股、水政执法安全保卫股、综合开发管理股。</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燕儿河水库是以灌溉为主兼顾城镇供水、生态建设、旅游开发等综合利用的中型水利工程，属都江堰灌区囤蓄水工程之一。水库由枢纽工程和灌区工程两部份组成；枢纽工程主要建筑物有：拦河大坝、导流放空洞、灌溉放水洞、城镇供水洞、溢洪道等；灌区工程由左、右干渠组成，渠系总长1４公里。主要职责是负责枢纽工程、灌区工程建设；水库大坝及其它枢纽工程的安全运行管理；承担水库防洪调度，确保水库防洪安全；承担水库兴利调度，最大限度地发挥灌溉、供水；负责水源地保护，城镇供水安全；负责开发规划编制、招商引资等前期库区开发工作。</w:t>
      </w:r>
      <w:r>
        <w:rPr>
          <w:rFonts w:hint="eastAsia" w:ascii="仿宋_GB2312" w:hAnsi="宋体" w:eastAsia="仿宋_GB2312" w:cs="宋体"/>
          <w:kern w:val="0"/>
          <w:sz w:val="32"/>
          <w:szCs w:val="32"/>
        </w:rPr>
        <w:t>加强安全生产和信访稳定工作；将继续搞好工程建设、防洪度汛、运行管理、水源和库区生态环境保护等方面工作，进一步加强信访稳定和网络舆情处置工作，切实抓好安全生产，加强安全巡查和隐患排查及整改工作，确保人民生命财产安全和社会和谐稳定；进一步加强自身建设，加强精神文明建设、工程管理、财务管理，建立和完善干部绩效管理、基层组织建设年暨党风廉政建设管理等长效机制，努力构建团结、务实、高效、廉洁、文明、和谐机关；完成区委、区政府交办的其它各项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年度我站事业编制</w:t>
      </w:r>
      <w:r>
        <w:rPr>
          <w:rFonts w:hint="eastAsia" w:ascii="仿宋_GB2312" w:eastAsia="仿宋_GB2312"/>
          <w:sz w:val="32"/>
          <w:szCs w:val="32"/>
          <w:lang w:val="en-US" w:eastAsia="zh-CN"/>
        </w:rPr>
        <w:t>9</w:t>
      </w:r>
      <w:r>
        <w:rPr>
          <w:rFonts w:hint="eastAsia" w:ascii="仿宋_GB2312" w:eastAsia="仿宋_GB2312"/>
          <w:sz w:val="32"/>
          <w:szCs w:val="32"/>
        </w:rPr>
        <w:t>个，实际在岗人数</w:t>
      </w:r>
      <w:r>
        <w:rPr>
          <w:rFonts w:hint="eastAsia" w:ascii="仿宋_GB2312" w:eastAsia="仿宋_GB2312"/>
          <w:sz w:val="32"/>
          <w:szCs w:val="32"/>
          <w:lang w:val="en-US" w:eastAsia="zh-CN"/>
        </w:rPr>
        <w:t>9</w:t>
      </w:r>
      <w:r>
        <w:rPr>
          <w:rFonts w:hint="eastAsia" w:ascii="仿宋_GB2312" w:eastAsia="仿宋_GB2312"/>
          <w:sz w:val="32"/>
          <w:szCs w:val="32"/>
        </w:rPr>
        <w:t>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年度我站事业编制</w:t>
      </w:r>
      <w:r>
        <w:rPr>
          <w:rFonts w:hint="eastAsia" w:ascii="仿宋_GB2312" w:eastAsia="仿宋_GB2312"/>
          <w:sz w:val="32"/>
          <w:szCs w:val="32"/>
          <w:lang w:val="en-US" w:eastAsia="zh-CN"/>
        </w:rPr>
        <w:t>9</w:t>
      </w:r>
      <w:r>
        <w:rPr>
          <w:rFonts w:hint="eastAsia" w:ascii="仿宋_GB2312" w:eastAsia="仿宋_GB2312"/>
          <w:sz w:val="32"/>
          <w:szCs w:val="32"/>
        </w:rPr>
        <w:t>个，实际在岗人数</w:t>
      </w:r>
      <w:r>
        <w:rPr>
          <w:rFonts w:hint="eastAsia" w:ascii="仿宋_GB2312" w:eastAsia="仿宋_GB2312"/>
          <w:sz w:val="32"/>
          <w:szCs w:val="32"/>
          <w:lang w:val="en-US" w:eastAsia="zh-CN"/>
        </w:rPr>
        <w:t>9</w:t>
      </w:r>
      <w:r>
        <w:rPr>
          <w:rFonts w:hint="eastAsia" w:ascii="仿宋_GB2312" w:eastAsia="仿宋_GB2312"/>
          <w:sz w:val="32"/>
          <w:szCs w:val="32"/>
        </w:rPr>
        <w:t>人</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w:t>
      </w:r>
      <w:r>
        <w:rPr>
          <w:rFonts w:hint="eastAsia" w:ascii="仿宋_GB2312" w:eastAsia="仿宋_GB2312"/>
          <w:color w:val="000000"/>
          <w:sz w:val="32"/>
          <w:szCs w:val="32"/>
        </w:rPr>
        <w:t>燕管站</w:t>
      </w:r>
      <w:r>
        <w:rPr>
          <w:rFonts w:hint="eastAsia" w:ascii="仿宋_GB2312" w:hAnsi="宋体" w:eastAsia="仿宋_GB2312"/>
          <w:sz w:val="32"/>
          <w:szCs w:val="32"/>
        </w:rPr>
        <w:t>收入决算总额为</w:t>
      </w:r>
      <w:r>
        <w:rPr>
          <w:rFonts w:hint="eastAsia" w:ascii="仿宋_GB2312" w:hAnsi="宋体" w:eastAsia="仿宋_GB2312"/>
          <w:sz w:val="32"/>
          <w:szCs w:val="32"/>
          <w:lang w:val="en-US" w:eastAsia="zh-CN"/>
        </w:rPr>
        <w:t>554.46</w:t>
      </w:r>
      <w:r>
        <w:rPr>
          <w:rFonts w:hint="eastAsia" w:ascii="仿宋_GB2312" w:hAnsi="宋体" w:eastAsia="仿宋_GB2312"/>
          <w:sz w:val="32"/>
          <w:szCs w:val="32"/>
        </w:rPr>
        <w:t>万元，其中：当年财政拨款收入</w:t>
      </w:r>
      <w:r>
        <w:rPr>
          <w:rFonts w:hint="eastAsia" w:ascii="仿宋_GB2312" w:hAnsi="宋体" w:eastAsia="仿宋_GB2312"/>
          <w:sz w:val="32"/>
          <w:szCs w:val="32"/>
          <w:lang w:val="en-US" w:eastAsia="zh-CN"/>
        </w:rPr>
        <w:t>497.36</w:t>
      </w:r>
      <w:r>
        <w:rPr>
          <w:rFonts w:hint="eastAsia" w:ascii="仿宋_GB2312" w:hAnsi="宋体" w:eastAsia="仿宋_GB2312"/>
          <w:sz w:val="32"/>
          <w:szCs w:val="32"/>
        </w:rPr>
        <w:t>万元，上年结转收入</w:t>
      </w:r>
      <w:r>
        <w:rPr>
          <w:rFonts w:hint="eastAsia" w:ascii="仿宋_GB2312" w:hAnsi="宋体" w:eastAsia="仿宋_GB2312"/>
          <w:sz w:val="32"/>
          <w:szCs w:val="32"/>
          <w:lang w:val="en-US" w:eastAsia="zh-CN"/>
        </w:rPr>
        <w:t>56.41</w:t>
      </w:r>
      <w:r>
        <w:rPr>
          <w:rFonts w:hint="eastAsia" w:ascii="仿宋_GB2312" w:hAnsi="宋体" w:eastAsia="仿宋_GB2312"/>
          <w:sz w:val="32"/>
          <w:szCs w:val="32"/>
        </w:rPr>
        <w:t>万元。2018年</w:t>
      </w:r>
      <w:r>
        <w:rPr>
          <w:rFonts w:hint="eastAsia" w:ascii="仿宋_GB2312" w:eastAsia="仿宋_GB2312"/>
          <w:color w:val="000000"/>
          <w:sz w:val="32"/>
          <w:szCs w:val="32"/>
        </w:rPr>
        <w:t>燕管站</w:t>
      </w:r>
      <w:r>
        <w:rPr>
          <w:rFonts w:hint="eastAsia" w:ascii="仿宋_GB2312" w:hAnsi="宋体" w:eastAsia="仿宋_GB2312"/>
          <w:sz w:val="32"/>
          <w:szCs w:val="32"/>
        </w:rPr>
        <w:t>收入决算总额为554</w:t>
      </w:r>
      <w:r>
        <w:rPr>
          <w:rFonts w:hint="eastAsia" w:ascii="仿宋_GB2312" w:hAnsi="宋体" w:eastAsia="仿宋_GB2312"/>
          <w:sz w:val="32"/>
          <w:szCs w:val="32"/>
          <w:lang w:val="en-US" w:eastAsia="zh-CN"/>
        </w:rPr>
        <w:t>.46</w:t>
      </w:r>
      <w:r>
        <w:rPr>
          <w:rFonts w:hint="eastAsia" w:ascii="仿宋_GB2312" w:hAnsi="宋体" w:eastAsia="仿宋_GB2312"/>
          <w:sz w:val="32"/>
          <w:szCs w:val="32"/>
        </w:rPr>
        <w:t>万元，其中：当年财政拨款收入49</w:t>
      </w:r>
      <w:r>
        <w:rPr>
          <w:rFonts w:hint="eastAsia" w:ascii="仿宋_GB2312" w:hAnsi="宋体" w:eastAsia="仿宋_GB2312"/>
          <w:sz w:val="32"/>
          <w:szCs w:val="32"/>
          <w:lang w:val="en-US" w:eastAsia="zh-CN"/>
        </w:rPr>
        <w:t>7.36</w:t>
      </w:r>
      <w:r>
        <w:rPr>
          <w:rFonts w:hint="eastAsia" w:ascii="仿宋_GB2312" w:hAnsi="宋体" w:eastAsia="仿宋_GB2312"/>
          <w:sz w:val="32"/>
          <w:szCs w:val="32"/>
        </w:rPr>
        <w:t>万元，上年结转收入56</w:t>
      </w:r>
      <w:r>
        <w:rPr>
          <w:rFonts w:hint="eastAsia" w:ascii="仿宋_GB2312" w:hAnsi="宋体" w:eastAsia="仿宋_GB2312"/>
          <w:sz w:val="32"/>
          <w:szCs w:val="32"/>
          <w:lang w:val="en-US" w:eastAsia="zh-CN"/>
        </w:rPr>
        <w:t>.41</w:t>
      </w:r>
      <w:r>
        <w:rPr>
          <w:rFonts w:hint="eastAsia" w:ascii="仿宋_GB2312" w:hAnsi="宋体" w:eastAsia="仿宋_GB2312"/>
          <w:sz w:val="32"/>
          <w:szCs w:val="32"/>
        </w:rPr>
        <w:t>万元。相应安排支出决算554</w:t>
      </w:r>
      <w:r>
        <w:rPr>
          <w:rFonts w:hint="eastAsia" w:ascii="仿宋_GB2312" w:hAnsi="宋体" w:eastAsia="仿宋_GB2312"/>
          <w:sz w:val="32"/>
          <w:szCs w:val="32"/>
          <w:lang w:val="en-US" w:eastAsia="zh-CN"/>
        </w:rPr>
        <w:t>.46</w:t>
      </w:r>
      <w:r>
        <w:rPr>
          <w:rFonts w:hint="eastAsia" w:ascii="仿宋_GB2312" w:hAnsi="宋体" w:eastAsia="仿宋_GB2312"/>
          <w:sz w:val="32"/>
          <w:szCs w:val="32"/>
        </w:rPr>
        <w:t>万元，其中：一般公共服务401万元，社会保障和就业</w:t>
      </w:r>
      <w:r>
        <w:rPr>
          <w:rFonts w:hint="eastAsia" w:ascii="仿宋_GB2312" w:hAnsi="宋体" w:eastAsia="仿宋_GB2312"/>
          <w:sz w:val="32"/>
          <w:szCs w:val="32"/>
          <w:lang w:val="en-US" w:eastAsia="zh-CN"/>
        </w:rPr>
        <w:t>17.86</w:t>
      </w:r>
      <w:r>
        <w:rPr>
          <w:rFonts w:hint="eastAsia" w:ascii="仿宋_GB2312" w:hAnsi="宋体" w:eastAsia="仿宋_GB2312"/>
          <w:sz w:val="32"/>
          <w:szCs w:val="32"/>
        </w:rPr>
        <w:t>万元，医疗卫生7万元，住房保障支出13万元。</w:t>
      </w: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hAnsi="宋体" w:eastAsia="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年燕管站本年支出合计439</w:t>
      </w:r>
      <w:r>
        <w:rPr>
          <w:rFonts w:hint="eastAsia" w:ascii="仿宋_GB2312" w:eastAsia="仿宋_GB2312"/>
          <w:color w:val="000000"/>
          <w:sz w:val="32"/>
          <w:szCs w:val="32"/>
          <w:lang w:val="en-US" w:eastAsia="zh-CN"/>
        </w:rPr>
        <w:t>.33</w:t>
      </w:r>
      <w:r>
        <w:rPr>
          <w:rFonts w:hint="eastAsia" w:ascii="仿宋_GB2312" w:eastAsia="仿宋_GB2312"/>
          <w:color w:val="000000"/>
          <w:sz w:val="32"/>
          <w:szCs w:val="32"/>
        </w:rPr>
        <w:t>万元，其中：基本支出19</w:t>
      </w:r>
      <w:r>
        <w:rPr>
          <w:rFonts w:hint="eastAsia" w:ascii="仿宋_GB2312" w:eastAsia="仿宋_GB2312"/>
          <w:color w:val="000000"/>
          <w:sz w:val="32"/>
          <w:szCs w:val="32"/>
          <w:lang w:val="en-US" w:eastAsia="zh-CN"/>
        </w:rPr>
        <w:t>3.73</w:t>
      </w:r>
      <w:r>
        <w:rPr>
          <w:rFonts w:hint="eastAsia" w:ascii="仿宋_GB2312" w:eastAsia="仿宋_GB2312"/>
          <w:color w:val="000000"/>
          <w:sz w:val="32"/>
          <w:szCs w:val="32"/>
        </w:rPr>
        <w:t>万元，项目支出244</w:t>
      </w:r>
      <w:r>
        <w:rPr>
          <w:rFonts w:hint="eastAsia" w:ascii="仿宋_GB2312" w:eastAsia="仿宋_GB2312"/>
          <w:color w:val="000000"/>
          <w:sz w:val="32"/>
          <w:szCs w:val="32"/>
          <w:lang w:val="en-US" w:eastAsia="zh-CN"/>
        </w:rPr>
        <w:t>.91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580" w:lineRule="exact"/>
        <w:ind w:firstLine="640" w:firstLineChars="200"/>
        <w:rPr>
          <w:rFonts w:ascii="黑体" w:hAnsi="黑体" w:eastAsia="黑体" w:cs="黑体"/>
          <w:sz w:val="32"/>
          <w:szCs w:val="32"/>
        </w:rPr>
      </w:pPr>
      <w:r>
        <w:rPr>
          <w:rFonts w:hint="eastAsia" w:ascii="仿宋_GB2312" w:hAnsi="宋体" w:eastAsia="仿宋_GB2312"/>
          <w:sz w:val="32"/>
          <w:szCs w:val="32"/>
        </w:rPr>
        <w:t>截止2018年12月末</w:t>
      </w:r>
      <w:r>
        <w:rPr>
          <w:rFonts w:hint="eastAsia" w:ascii="仿宋_GB2312" w:eastAsia="仿宋_GB2312"/>
          <w:color w:val="000000"/>
          <w:sz w:val="32"/>
          <w:szCs w:val="32"/>
        </w:rPr>
        <w:t>燕管站</w:t>
      </w:r>
      <w:r>
        <w:rPr>
          <w:rFonts w:hint="eastAsia" w:ascii="仿宋_GB2312" w:hAnsi="宋体" w:eastAsia="仿宋_GB2312"/>
          <w:sz w:val="32"/>
          <w:szCs w:val="32"/>
        </w:rPr>
        <w:t>固定资产总额</w:t>
      </w:r>
      <w:r>
        <w:rPr>
          <w:rFonts w:hint="eastAsia" w:ascii="仿宋_GB2312" w:eastAsia="仿宋_GB2312"/>
          <w:sz w:val="32"/>
          <w:szCs w:val="32"/>
        </w:rPr>
        <w:t>8.4</w:t>
      </w:r>
      <w:r>
        <w:rPr>
          <w:rFonts w:hint="eastAsia" w:ascii="仿宋_GB2312" w:hAnsi="宋体" w:eastAsia="仿宋_GB2312"/>
          <w:sz w:val="32"/>
          <w:szCs w:val="32"/>
        </w:rPr>
        <w:t>万元</w:t>
      </w:r>
    </w:p>
    <w:p>
      <w:pPr>
        <w:spacing w:line="580" w:lineRule="exact"/>
        <w:ind w:firstLine="640" w:firstLineChars="200"/>
        <w:rPr>
          <w:rFonts w:ascii="仿宋" w:hAnsi="仿宋" w:eastAsia="仿宋" w:cs="仿宋_GB2312"/>
          <w:sz w:val="32"/>
          <w:szCs w:val="32"/>
        </w:rPr>
      </w:pPr>
      <w:r>
        <w:rPr>
          <w:rFonts w:ascii="黑体" w:hAnsi="黑体" w:eastAsia="黑体" w:cs="黑体"/>
          <w:sz w:val="32"/>
          <w:szCs w:val="32"/>
        </w:rPr>
        <w:t>三、部门整体预算绩效管理情况</w:t>
      </w:r>
      <w:r>
        <w:rPr>
          <w:rFonts w:ascii="仿宋" w:hAnsi="仿宋" w:eastAsia="仿宋" w:cs="仿宋_GB2312"/>
          <w:sz w:val="32"/>
          <w:szCs w:val="32"/>
        </w:rPr>
        <w:t>（一）部门预算管理。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（一）预算编制情况</w:t>
      </w:r>
    </w:p>
    <w:p>
      <w:pPr>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根据区财政安排：我站201</w:t>
      </w:r>
      <w:r>
        <w:rPr>
          <w:rFonts w:hint="eastAsia" w:ascii="仿宋_GB2312" w:hAnsi="宋体" w:eastAsia="仿宋_GB2312"/>
          <w:sz w:val="32"/>
          <w:szCs w:val="32"/>
          <w:lang w:val="en-US" w:eastAsia="zh-CN"/>
        </w:rPr>
        <w:t>7</w:t>
      </w:r>
      <w:r>
        <w:rPr>
          <w:rFonts w:hint="eastAsia" w:ascii="仿宋_GB2312" w:hAnsi="宋体" w:eastAsia="仿宋_GB2312"/>
          <w:sz w:val="32"/>
          <w:szCs w:val="32"/>
        </w:rPr>
        <w:t>年末对201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年的预算进行了编制，</w:t>
      </w:r>
      <w:r>
        <w:rPr>
          <w:rFonts w:hint="eastAsia" w:ascii="仿宋_GB2312" w:hAnsi="宋体" w:eastAsia="仿宋_GB2312"/>
          <w:sz w:val="32"/>
          <w:szCs w:val="32"/>
          <w:lang w:eastAsia="zh-CN"/>
        </w:rPr>
        <w:t>首先目标任务明确、认真梳理、依据充分、编制规范。</w:t>
      </w:r>
    </w:p>
    <w:p>
      <w:pPr>
        <w:ind w:firstLine="640" w:firstLineChars="200"/>
        <w:rPr>
          <w:rFonts w:hint="eastAsia" w:ascii="仿宋_GB2312" w:hAnsi="宋体" w:eastAsia="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一是始终严格按照预算编制情况对部门支出及项目支出进行预算拨付。站里各股室在编制各项预算时以站的目标考核指标为最终目标，以资金预算方案为编制的基础，各股室的预算必须与其他股室相互配合；二是定期对各项财政资金进行梳理，以便对资金进行监管，确保预算执行进度；三是按照区财政要求，按时完成部门决算，反映我站当年部门预算收支情况及各项指标。</w:t>
      </w:r>
    </w:p>
    <w:p>
      <w:pPr>
        <w:spacing w:line="540" w:lineRule="exact"/>
        <w:ind w:firstLine="570"/>
        <w:rPr>
          <w:rFonts w:hint="eastAsia" w:ascii="仿宋_GB2312" w:hAnsi="宋体" w:eastAsia="仿宋_GB2312"/>
          <w:sz w:val="32"/>
          <w:szCs w:val="32"/>
        </w:rPr>
      </w:pPr>
      <w:r>
        <w:rPr>
          <w:rFonts w:hint="eastAsia" w:ascii="仿宋_GB2312" w:hAnsi="宋体" w:eastAsia="仿宋_GB2312"/>
          <w:sz w:val="32"/>
          <w:szCs w:val="32"/>
        </w:rPr>
        <w:t xml:space="preserve">我站基本支出是用于保障机关机构正常运转的日常支出，工资、津贴补贴等人员经费以及办公费、印刷费、水电费、办公费等日常公用经费；秉着节能降耗、廉洁行政的原则进行开支。 </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我站通过项目资金支出</w:t>
      </w:r>
      <w:r>
        <w:rPr>
          <w:rFonts w:hint="eastAsia" w:ascii="仿宋_GB2312" w:hAnsi="宋体" w:eastAsia="仿宋_GB2312"/>
          <w:sz w:val="32"/>
          <w:szCs w:val="32"/>
          <w:lang w:val="en-US" w:eastAsia="zh-CN"/>
        </w:rPr>
        <w:t>244.91</w:t>
      </w:r>
      <w:r>
        <w:rPr>
          <w:rFonts w:hint="eastAsia" w:ascii="仿宋_GB2312" w:hAnsi="宋体" w:eastAsia="仿宋_GB2312"/>
          <w:sz w:val="32"/>
          <w:szCs w:val="32"/>
        </w:rPr>
        <w:t>万元，其中：上年项目资金结转今年支出</w:t>
      </w:r>
      <w:r>
        <w:rPr>
          <w:rFonts w:hint="eastAsia" w:ascii="仿宋_GB2312" w:hAnsi="宋体" w:eastAsia="仿宋_GB2312"/>
          <w:sz w:val="32"/>
          <w:szCs w:val="32"/>
          <w:lang w:val="en-US" w:eastAsia="zh-CN"/>
        </w:rPr>
        <w:t>56</w:t>
      </w:r>
      <w:r>
        <w:rPr>
          <w:rFonts w:hint="eastAsia" w:ascii="仿宋_GB2312" w:hAnsi="宋体" w:eastAsia="仿宋_GB2312"/>
          <w:sz w:val="32"/>
          <w:szCs w:val="32"/>
        </w:rPr>
        <w:t>万元，用于燕儿河水库右干渠工程建设、灾后重建管理房项目的支出及水库建设。</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黑体" w:hAnsi="黑体" w:eastAsia="黑体" w:cs="黑体"/>
          <w:sz w:val="32"/>
          <w:szCs w:val="32"/>
        </w:rPr>
      </w:pPr>
      <w:r>
        <w:rPr>
          <w:rFonts w:hint="eastAsia" w:ascii="仿宋_GB2312" w:hAnsi="宋体" w:eastAsia="仿宋_GB2312"/>
          <w:sz w:val="32"/>
          <w:szCs w:val="32"/>
        </w:rPr>
        <w:t>为提高财政资金使用效率，按照绩效评价工作要求，我站重点针对对预算编制情况、预算执行情况、结转结余情况、“三公经费”控制、制度建设、会计核算等方面开展评价，并将结果报告绩效考核部门，同时应用于以后年度的预算安排。</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我站201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年始终坚持按质按量执行部门支出，制定了各项管理制度，严格按照计划及审批手续齐全后再进行支付，综上所述，我站201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年部门预算也按照要求执行，确保了资金的安全性。</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燕儿河水库右干渠工程审计已基本结束，待右干渠工程取得审计报告后，即将对燕儿河水库工程进行竣工财务</w:t>
      </w:r>
      <w:bookmarkStart w:id="75" w:name="_GoBack"/>
      <w:r>
        <w:rPr>
          <w:rFonts w:hint="eastAsia" w:ascii="仿宋_GB2312" w:hAnsi="仿宋_GB2312" w:eastAsia="仿宋_GB2312" w:cs="仿宋_GB2312"/>
          <w:sz w:val="32"/>
          <w:szCs w:val="32"/>
          <w:lang w:eastAsia="zh-CN"/>
        </w:rPr>
        <w:t>决算</w:t>
      </w:r>
      <w:bookmarkEnd w:id="75"/>
      <w:r>
        <w:rPr>
          <w:rFonts w:hint="eastAsia" w:ascii="仿宋_GB2312" w:hAnsi="仿宋_GB2312" w:eastAsia="仿宋_GB2312" w:cs="仿宋_GB2312"/>
          <w:sz w:val="32"/>
          <w:szCs w:val="32"/>
          <w:lang w:eastAsia="zh-CN"/>
        </w:rPr>
        <w:t>审计工作。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通过对部门支出绩效评价分析，我站将根据我区实际情况做好部门预算，加强执行力度，将财政资金更好的发挥作用；对专项资金进行梳理，并分析支出绩效，找出原因，提高专项资金的使用效果。同时督促施工单位积极配合审计部门尽快出具审计报告，以利专项资金拨付。</w:t>
      </w:r>
    </w:p>
    <w:p>
      <w:pPr>
        <w:ind w:firstLine="640" w:firstLineChars="200"/>
        <w:rPr>
          <w:rFonts w:hint="eastAsia" w:ascii="仿宋_GB2312" w:hAnsi="宋体" w:eastAsia="仿宋_GB2312"/>
          <w:sz w:val="32"/>
          <w:szCs w:val="32"/>
        </w:rPr>
      </w:pPr>
    </w:p>
    <w:p>
      <w:pPr>
        <w:spacing w:line="600" w:lineRule="exact"/>
        <w:ind w:firstLine="3080" w:firstLineChars="700"/>
        <w:jc w:val="both"/>
        <w:outlineLvl w:val="0"/>
        <w:rPr>
          <w:rStyle w:val="24"/>
          <w:rFonts w:hint="eastAsia" w:ascii="黑体" w:hAnsi="黑体" w:eastAsia="黑体"/>
          <w:b w:val="0"/>
        </w:rPr>
      </w:pPr>
      <w:bookmarkStart w:id="61" w:name="_Toc15396618"/>
      <w:r>
        <w:rPr>
          <w:rFonts w:hint="eastAsia" w:ascii="黑体" w:hAnsi="黑体" w:eastAsia="黑体"/>
          <w:color w:val="000000"/>
          <w:sz w:val="44"/>
          <w:szCs w:val="44"/>
        </w:rPr>
        <w:t>第</w:t>
      </w:r>
      <w:r>
        <w:rPr>
          <w:rStyle w:val="24"/>
          <w:rFonts w:hint="eastAsia" w:ascii="黑体" w:hAnsi="黑体" w:eastAsia="黑体"/>
          <w:b w:val="0"/>
        </w:rPr>
        <w:t xml:space="preserve">五部分 </w:t>
      </w:r>
      <w:bookmarkEnd w:id="58"/>
      <w:bookmarkEnd w:id="61"/>
      <w:bookmarkStart w:id="62" w:name="_Toc15396619"/>
    </w:p>
    <w:p>
      <w:pPr>
        <w:numPr>
          <w:ilvl w:val="0"/>
          <w:numId w:val="10"/>
        </w:numPr>
        <w:spacing w:line="600" w:lineRule="exact"/>
        <w:ind w:firstLine="2240" w:firstLineChars="700"/>
        <w:jc w:val="both"/>
        <w:outlineLvl w:val="0"/>
        <w:rPr>
          <w:rStyle w:val="25"/>
          <w:rFonts w:hint="eastAsia" w:ascii="仿宋" w:hAnsi="仿宋" w:eastAsia="仿宋"/>
          <w:b w:val="0"/>
          <w:bCs w:val="0"/>
        </w:rPr>
      </w:pPr>
      <w:r>
        <w:rPr>
          <w:rFonts w:hint="eastAsia" w:ascii="仿宋" w:hAnsi="仿宋" w:eastAsia="仿宋"/>
          <w:b w:val="0"/>
          <w:color w:val="000000"/>
          <w:sz w:val="32"/>
          <w:szCs w:val="32"/>
        </w:rPr>
        <w:t>收</w:t>
      </w:r>
      <w:r>
        <w:rPr>
          <w:rStyle w:val="25"/>
          <w:rFonts w:hint="eastAsia" w:ascii="仿宋" w:hAnsi="仿宋" w:eastAsia="仿宋"/>
          <w:b w:val="0"/>
          <w:bCs w:val="0"/>
        </w:rPr>
        <w:t>入支出决算总</w:t>
      </w:r>
      <w:bookmarkEnd w:id="62"/>
      <w:bookmarkStart w:id="63" w:name="_Toc15396620"/>
    </w:p>
    <w:p>
      <w:pPr>
        <w:numPr>
          <w:ilvl w:val="0"/>
          <w:numId w:val="0"/>
        </w:numPr>
        <w:spacing w:line="600" w:lineRule="exact"/>
        <w:ind w:leftChars="700" w:firstLine="640" w:firstLineChars="200"/>
        <w:jc w:val="both"/>
        <w:outlineLvl w:val="0"/>
        <w:rPr>
          <w:rFonts w:ascii="仿宋" w:hAnsi="仿宋" w:eastAsia="仿宋"/>
          <w:color w:val="000000"/>
        </w:rPr>
      </w:pPr>
      <w:r>
        <w:rPr>
          <w:rFonts w:hint="eastAsia" w:ascii="宋体" w:hAnsi="宋体" w:cs="宋体"/>
          <w:b w:val="0"/>
          <w:color w:val="000000"/>
          <w:sz w:val="32"/>
          <w:szCs w:val="32"/>
          <w:lang w:eastAsia="zh-CN"/>
        </w:rPr>
        <w:t>二、</w:t>
      </w:r>
      <w:r>
        <w:rPr>
          <w:rFonts w:hint="eastAsia" w:ascii="宋体" w:hAnsi="宋体" w:eastAsia="宋体" w:cs="宋体"/>
          <w:b w:val="0"/>
          <w:color w:val="000000"/>
          <w:sz w:val="32"/>
          <w:szCs w:val="32"/>
        </w:rPr>
        <w:t>收</w:t>
      </w:r>
      <w:r>
        <w:rPr>
          <w:rStyle w:val="25"/>
          <w:rFonts w:hint="eastAsia" w:ascii="宋体" w:hAnsi="宋体" w:eastAsia="宋体" w:cs="宋体"/>
          <w:b w:val="0"/>
          <w:bCs w:val="0"/>
          <w:sz w:val="32"/>
          <w:szCs w:val="32"/>
        </w:rPr>
        <w:t>入总表</w:t>
      </w:r>
      <w:bookmarkEnd w:id="63"/>
    </w:p>
    <w:p>
      <w:pPr>
        <w:numPr>
          <w:ilvl w:val="0"/>
          <w:numId w:val="0"/>
        </w:numPr>
        <w:spacing w:line="600" w:lineRule="exact"/>
        <w:ind w:leftChars="700" w:firstLine="640" w:firstLineChars="200"/>
        <w:jc w:val="both"/>
        <w:outlineLvl w:val="0"/>
        <w:rPr>
          <w:rStyle w:val="25"/>
          <w:rFonts w:hint="eastAsia" w:ascii="仿宋" w:hAnsi="仿宋" w:eastAsia="仿宋"/>
          <w:b w:val="0"/>
          <w:bCs w:val="0"/>
        </w:rPr>
      </w:pPr>
      <w:r>
        <w:rPr>
          <w:rStyle w:val="25"/>
          <w:rFonts w:hint="eastAsia" w:ascii="仿宋" w:hAnsi="仿宋" w:eastAsia="仿宋"/>
          <w:b w:val="0"/>
          <w:bCs w:val="0"/>
        </w:rPr>
        <w:t>三、</w:t>
      </w:r>
      <w:r>
        <w:rPr>
          <w:rFonts w:hint="eastAsia" w:ascii="仿宋" w:hAnsi="仿宋" w:eastAsia="仿宋"/>
          <w:b w:val="0"/>
          <w:color w:val="000000"/>
          <w:sz w:val="32"/>
          <w:szCs w:val="32"/>
        </w:rPr>
        <w:t>支</w:t>
      </w:r>
      <w:r>
        <w:rPr>
          <w:rStyle w:val="25"/>
          <w:rFonts w:hint="eastAsia" w:ascii="仿宋" w:hAnsi="仿宋" w:eastAsia="仿宋"/>
          <w:b w:val="0"/>
          <w:bCs w:val="0"/>
        </w:rPr>
        <w:t>出总表</w:t>
      </w:r>
    </w:p>
    <w:p>
      <w:pPr>
        <w:pStyle w:val="3"/>
        <w:rPr>
          <w:rFonts w:ascii="仿宋" w:hAnsi="仿宋" w:eastAsia="仿宋"/>
          <w:b w:val="0"/>
          <w:color w:val="000000"/>
        </w:rPr>
      </w:pPr>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p>
    <w:p>
      <w:pPr>
        <w:pStyle w:val="3"/>
        <w:rPr>
          <w:rFonts w:ascii="仿宋" w:hAnsi="仿宋" w:eastAsia="仿宋"/>
          <w:color w:val="000000"/>
        </w:rPr>
      </w:pPr>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p>
    <w:p>
      <w:pPr>
        <w:pStyle w:val="3"/>
        <w:rPr>
          <w:rFonts w:ascii="仿宋" w:hAnsi="仿宋" w:eastAsia="仿宋"/>
          <w:color w:val="000000"/>
        </w:rPr>
      </w:pPr>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p>
    <w:p>
      <w:pPr>
        <w:pStyle w:val="3"/>
        <w:rPr>
          <w:rFonts w:ascii="仿宋" w:hAnsi="仿宋" w:eastAsia="仿宋"/>
          <w:color w:val="000000"/>
        </w:rPr>
      </w:pPr>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p>
    <w:p>
      <w:pPr>
        <w:pStyle w:val="3"/>
        <w:rPr>
          <w:rFonts w:ascii="仿宋" w:hAnsi="仿宋" w:eastAsia="仿宋"/>
          <w:color w:val="000000"/>
        </w:rPr>
      </w:pPr>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p>
    <w:p>
      <w:pPr>
        <w:pStyle w:val="3"/>
        <w:rPr>
          <w:rFonts w:ascii="仿宋" w:hAnsi="仿宋" w:eastAsia="仿宋"/>
          <w:color w:val="000000"/>
        </w:rPr>
      </w:pPr>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p>
    <w:p>
      <w:pPr>
        <w:pStyle w:val="3"/>
        <w:rPr>
          <w:rFonts w:ascii="仿宋" w:hAnsi="仿宋" w:eastAsia="仿宋"/>
          <w:color w:val="000000"/>
        </w:rPr>
      </w:pPr>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p>
    <w:p>
      <w:pPr>
        <w:pStyle w:val="3"/>
        <w:rPr>
          <w:rFonts w:ascii="仿宋" w:hAnsi="仿宋" w:eastAsia="仿宋"/>
          <w:color w:val="000000"/>
        </w:rPr>
      </w:pPr>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p>
    <w:p>
      <w:pPr>
        <w:pStyle w:val="3"/>
        <w:rPr>
          <w:rFonts w:ascii="仿宋" w:hAnsi="仿宋" w:eastAsia="仿宋"/>
          <w:color w:val="000000" w:themeColor="text1"/>
          <w14:textFill>
            <w14:solidFill>
              <w14:schemeClr w14:val="tx1"/>
            </w14:solidFill>
          </w14:textFill>
        </w:rPr>
      </w:pPr>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p>
    <w:p>
      <w:pPr>
        <w:numPr>
          <w:ilvl w:val="0"/>
          <w:numId w:val="0"/>
        </w:numPr>
        <w:spacing w:line="600" w:lineRule="exact"/>
        <w:ind w:leftChars="700" w:firstLine="640" w:firstLineChars="200"/>
        <w:jc w:val="both"/>
        <w:outlineLvl w:val="0"/>
        <w:rPr>
          <w:rStyle w:val="25"/>
          <w:rFonts w:hint="eastAsia" w:ascii="仿宋" w:hAnsi="仿宋" w:eastAsia="仿宋"/>
          <w:b w:val="0"/>
          <w:bCs w:val="0"/>
        </w:rPr>
      </w:pPr>
    </w:p>
    <w:p>
      <w:pPr>
        <w:pStyle w:val="3"/>
        <w:rPr>
          <w:rFonts w:ascii="仿宋" w:hAnsi="仿宋" w:eastAsia="仿宋"/>
          <w:b w:val="0"/>
          <w:color w:val="000000"/>
        </w:rPr>
      </w:pPr>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p>
    <w:p>
      <w:pPr>
        <w:pStyle w:val="3"/>
        <w:rPr>
          <w:rFonts w:ascii="仿宋" w:hAnsi="仿宋" w:eastAsia="仿宋"/>
          <w:color w:val="000000"/>
        </w:rPr>
      </w:pPr>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p>
    <w:p>
      <w:pPr>
        <w:pStyle w:val="3"/>
        <w:rPr>
          <w:rFonts w:ascii="仿宋" w:hAnsi="仿宋" w:eastAsia="仿宋"/>
          <w:color w:val="000000"/>
        </w:rPr>
      </w:pPr>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p>
    <w:p>
      <w:pPr>
        <w:pStyle w:val="3"/>
        <w:rPr>
          <w:rFonts w:ascii="仿宋" w:hAnsi="仿宋" w:eastAsia="仿宋"/>
          <w:color w:val="000000"/>
        </w:rPr>
      </w:pPr>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p>
    <w:p>
      <w:pPr>
        <w:pStyle w:val="3"/>
        <w:rPr>
          <w:rFonts w:ascii="仿宋" w:hAnsi="仿宋" w:eastAsia="仿宋"/>
          <w:color w:val="000000"/>
        </w:rPr>
      </w:pPr>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p>
    <w:p>
      <w:pPr>
        <w:pStyle w:val="3"/>
        <w:rPr>
          <w:rFonts w:ascii="仿宋" w:hAnsi="仿宋" w:eastAsia="仿宋"/>
          <w:color w:val="000000"/>
        </w:rPr>
      </w:pPr>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p>
    <w:p>
      <w:pPr>
        <w:pStyle w:val="3"/>
        <w:rPr>
          <w:rFonts w:ascii="仿宋" w:hAnsi="仿宋" w:eastAsia="仿宋"/>
          <w:color w:val="000000"/>
        </w:rPr>
      </w:pPr>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p>
    <w:p>
      <w:pPr>
        <w:pStyle w:val="3"/>
        <w:rPr>
          <w:rFonts w:ascii="仿宋" w:hAnsi="仿宋" w:eastAsia="仿宋"/>
          <w:color w:val="000000"/>
        </w:rPr>
      </w:pPr>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p>
    <w:p>
      <w:pPr>
        <w:pStyle w:val="3"/>
        <w:rPr>
          <w:rFonts w:ascii="仿宋" w:hAnsi="仿宋" w:eastAsia="仿宋"/>
          <w:color w:val="000000" w:themeColor="text1"/>
          <w14:textFill>
            <w14:solidFill>
              <w14:schemeClr w14:val="tx1"/>
            </w14:solidFill>
          </w14:textFill>
        </w:rPr>
      </w:pPr>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p>
    <w:p>
      <w:pPr>
        <w:numPr>
          <w:ilvl w:val="0"/>
          <w:numId w:val="10"/>
        </w:numPr>
        <w:spacing w:line="600" w:lineRule="exact"/>
        <w:ind w:left="0" w:leftChars="0" w:firstLine="2240" w:firstLineChars="700"/>
        <w:jc w:val="both"/>
        <w:outlineLvl w:val="0"/>
        <w:rPr>
          <w:rStyle w:val="25"/>
          <w:rFonts w:hint="eastAsia" w:ascii="宋体" w:hAnsi="宋体" w:eastAsia="宋体" w:cs="宋体"/>
          <w:b w:val="0"/>
          <w:bCs w:val="0"/>
          <w:sz w:val="32"/>
          <w:szCs w:val="32"/>
        </w:rPr>
      </w:pPr>
    </w:p>
    <w:p>
      <w:pPr>
        <w:pStyle w:val="3"/>
        <w:rPr>
          <w:rFonts w:ascii="仿宋" w:hAnsi="仿宋" w:eastAsia="仿宋"/>
          <w:color w:val="000000"/>
        </w:rPr>
      </w:pPr>
      <w:bookmarkStart w:id="64"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14:textFill>
            <w14:solidFill>
              <w14:schemeClr w14:val="tx1"/>
            </w14:solidFill>
          </w14:textFill>
        </w:rPr>
      </w:pPr>
      <w:bookmarkStart w:id="74"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FBCB1E"/>
    <w:multiLevelType w:val="singleLevel"/>
    <w:tmpl w:val="99FBCB1E"/>
    <w:lvl w:ilvl="0" w:tentative="0">
      <w:start w:val="1"/>
      <w:numFmt w:val="decimal"/>
      <w:lvlText w:val="%1."/>
      <w:lvlJc w:val="left"/>
      <w:pPr>
        <w:tabs>
          <w:tab w:val="left" w:pos="312"/>
        </w:tabs>
      </w:pPr>
    </w:lvl>
  </w:abstractNum>
  <w:abstractNum w:abstractNumId="1">
    <w:nsid w:val="B026C66B"/>
    <w:multiLevelType w:val="singleLevel"/>
    <w:tmpl w:val="B026C66B"/>
    <w:lvl w:ilvl="0" w:tentative="0">
      <w:start w:val="1"/>
      <w:numFmt w:val="decimal"/>
      <w:lvlText w:val="%1."/>
      <w:lvlJc w:val="left"/>
      <w:pPr>
        <w:tabs>
          <w:tab w:val="left" w:pos="312"/>
        </w:tabs>
      </w:pPr>
    </w:lvl>
  </w:abstractNum>
  <w:abstractNum w:abstractNumId="2">
    <w:nsid w:val="B5247EFE"/>
    <w:multiLevelType w:val="singleLevel"/>
    <w:tmpl w:val="B5247EFE"/>
    <w:lvl w:ilvl="0" w:tentative="0">
      <w:start w:val="2"/>
      <w:numFmt w:val="decimal"/>
      <w:suff w:val="nothing"/>
      <w:lvlText w:val="（%1）"/>
      <w:lvlJc w:val="left"/>
    </w:lvl>
  </w:abstractNum>
  <w:abstractNum w:abstractNumId="3">
    <w:nsid w:val="B6117B58"/>
    <w:multiLevelType w:val="singleLevel"/>
    <w:tmpl w:val="B6117B58"/>
    <w:lvl w:ilvl="0" w:tentative="0">
      <w:start w:val="3"/>
      <w:numFmt w:val="decimal"/>
      <w:lvlText w:val="%1."/>
      <w:lvlJc w:val="left"/>
      <w:pPr>
        <w:tabs>
          <w:tab w:val="left" w:pos="312"/>
        </w:tabs>
      </w:pPr>
    </w:lvl>
  </w:abstractNum>
  <w:abstractNum w:abstractNumId="4">
    <w:nsid w:val="CF652CEC"/>
    <w:multiLevelType w:val="singleLevel"/>
    <w:tmpl w:val="CF652CEC"/>
    <w:lvl w:ilvl="0" w:tentative="0">
      <w:start w:val="9"/>
      <w:numFmt w:val="chineseCounting"/>
      <w:suff w:val="nothing"/>
      <w:lvlText w:val="%1、"/>
      <w:lvlJc w:val="left"/>
      <w:rPr>
        <w:rFonts w:hint="eastAsia"/>
      </w:rPr>
    </w:lvl>
  </w:abstractNum>
  <w:abstractNum w:abstractNumId="5">
    <w:nsid w:val="E2FA047D"/>
    <w:multiLevelType w:val="singleLevel"/>
    <w:tmpl w:val="E2FA047D"/>
    <w:lvl w:ilvl="0" w:tentative="0">
      <w:start w:val="3"/>
      <w:numFmt w:val="chineseCounting"/>
      <w:suff w:val="space"/>
      <w:lvlText w:val="第%1部分"/>
      <w:lvlJc w:val="left"/>
      <w:rPr>
        <w:rFonts w:hint="eastAsia"/>
      </w:rPr>
    </w:lvl>
  </w:abstractNum>
  <w:abstractNum w:abstractNumId="6">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4DD1EE0E"/>
    <w:multiLevelType w:val="singleLevel"/>
    <w:tmpl w:val="4DD1EE0E"/>
    <w:lvl w:ilvl="0" w:tentative="0">
      <w:start w:val="1"/>
      <w:numFmt w:val="chineseCounting"/>
      <w:suff w:val="nothing"/>
      <w:lvlText w:val="%1、"/>
      <w:lvlJc w:val="left"/>
      <w:rPr>
        <w:rFonts w:hint="eastAsia"/>
      </w:rPr>
    </w:lvl>
  </w:abstractNum>
  <w:num w:numId="1">
    <w:abstractNumId w:val="7"/>
  </w:num>
  <w:num w:numId="2">
    <w:abstractNumId w:val="0"/>
  </w:num>
  <w:num w:numId="3">
    <w:abstractNumId w:val="3"/>
  </w:num>
  <w:num w:numId="4">
    <w:abstractNumId w:val="4"/>
  </w:num>
  <w:num w:numId="5">
    <w:abstractNumId w:val="8"/>
  </w:num>
  <w:num w:numId="6">
    <w:abstractNumId w:val="6"/>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551490E"/>
    <w:rsid w:val="10C055FF"/>
    <w:rsid w:val="16BB723D"/>
    <w:rsid w:val="240371BF"/>
    <w:rsid w:val="27F509A3"/>
    <w:rsid w:val="29FD04D3"/>
    <w:rsid w:val="319F7F4E"/>
    <w:rsid w:val="336D18BA"/>
    <w:rsid w:val="3E132BC2"/>
    <w:rsid w:val="566A712A"/>
    <w:rsid w:val="5B333538"/>
    <w:rsid w:val="60CB6443"/>
    <w:rsid w:val="76014AAE"/>
    <w:rsid w:val="783272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character" w:customStyle="1" w:styleId="29">
    <w:name w:val="15"/>
    <w:basedOn w:val="13"/>
    <w:qFormat/>
    <w:uiPriority w:val="0"/>
    <w:rPr>
      <w:rFonts w:hint="default" w:ascii="Calibri" w:hAnsi="Calibri"/>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0</TotalTime>
  <ScaleCrop>false</ScaleCrop>
  <LinksUpToDate>false</LinksUpToDate>
  <CharactersWithSpaces>9641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毒苹果</cp:lastModifiedBy>
  <cp:lastPrinted>2019-08-01T00:48:00Z</cp:lastPrinted>
  <dcterms:modified xsi:type="dcterms:W3CDTF">2019-09-30T07:42:03Z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